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Override PartName="/word/charts/colors4.xml" ContentType="application/vnd.ms-office.chartcolorstyle+xml"/>
  <Override PartName="/word/charts/style4.xml" ContentType="application/vnd.ms-office.chartstyle+xml"/>
  <Override PartName="/word/charts/colors5.xml" ContentType="application/vnd.ms-office.chartcolorstyle+xml"/>
  <Override PartName="/word/charts/style5.xml" ContentType="application/vnd.ms-office.chartstyle+xml"/>
  <Override PartName="/word/charts/colors6.xml" ContentType="application/vnd.ms-office.chartcolorstyle+xml"/>
  <Override PartName="/word/charts/style6.xml" ContentType="application/vnd.ms-office.chartstyle+xml"/>
  <Override PartName="/word/charts/colors7.xml" ContentType="application/vnd.ms-office.chartcolorstyle+xml"/>
  <Override PartName="/word/charts/style7.xml" ContentType="application/vnd.ms-office.chartstyle+xml"/>
  <Override PartName="/word/charts/colors8.xml" ContentType="application/vnd.ms-office.chartcolorstyle+xml"/>
  <Override PartName="/word/charts/style8.xml" ContentType="application/vnd.ms-office.chartstyle+xml"/>
  <Override PartName="/word/charts/colors9.xml" ContentType="application/vnd.ms-office.chartcolorstyle+xml"/>
  <Override PartName="/word/charts/style9.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D6CEA" w14:textId="56F0038B" w:rsidR="00D5547E" w:rsidRPr="009E51FC" w:rsidRDefault="002C4FF7" w:rsidP="00DC3923">
      <w:pPr>
        <w:jc w:val="right"/>
      </w:pPr>
      <w:r>
        <w:rPr>
          <w:noProof/>
        </w:rPr>
        <w:drawing>
          <wp:inline distT="0" distB="0" distL="0" distR="0" wp14:anchorId="16A52788" wp14:editId="58EA4952">
            <wp:extent cx="944245" cy="1262380"/>
            <wp:effectExtent l="0" t="0" r="0" b="7620"/>
            <wp:docPr id="1" name="Picture 1"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4245" cy="1262380"/>
                    </a:xfrm>
                    <a:prstGeom prst="rect">
                      <a:avLst/>
                    </a:prstGeom>
                    <a:noFill/>
                    <a:ln>
                      <a:noFill/>
                    </a:ln>
                  </pic:spPr>
                </pic:pic>
              </a:graphicData>
            </a:graphic>
          </wp:inline>
        </w:drawing>
      </w:r>
    </w:p>
    <w:tbl>
      <w:tblPr>
        <w:tblW w:w="0" w:type="auto"/>
        <w:tblInd w:w="108" w:type="dxa"/>
        <w:tblLayout w:type="fixed"/>
        <w:tblLook w:val="04A0" w:firstRow="1" w:lastRow="0" w:firstColumn="1" w:lastColumn="0" w:noHBand="0" w:noVBand="1"/>
      </w:tblPr>
      <w:tblGrid>
        <w:gridCol w:w="2438"/>
        <w:gridCol w:w="6406"/>
      </w:tblGrid>
      <w:tr w:rsidR="00CE544A" w:rsidRPr="00975B07" w14:paraId="31A07EDA" w14:textId="77777777" w:rsidTr="005F7F7E">
        <w:tc>
          <w:tcPr>
            <w:tcW w:w="2438" w:type="dxa"/>
            <w:shd w:val="clear" w:color="auto" w:fill="auto"/>
          </w:tcPr>
          <w:p w14:paraId="768839BA" w14:textId="77777777"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6406" w:type="dxa"/>
            <w:shd w:val="clear" w:color="auto" w:fill="auto"/>
          </w:tcPr>
          <w:p w14:paraId="631B83E9" w14:textId="77777777" w:rsidR="00F445B1" w:rsidRPr="00F95BC9" w:rsidRDefault="007130C8" w:rsidP="004A6D2F">
            <w:pPr>
              <w:rPr>
                <w:rStyle w:val="Firstpagetablebold"/>
              </w:rPr>
            </w:pPr>
            <w:r w:rsidRPr="007130C8">
              <w:rPr>
                <w:rStyle w:val="Firstpagetablebold"/>
                <w:color w:val="auto"/>
              </w:rPr>
              <w:t>Finance Panel</w:t>
            </w:r>
          </w:p>
        </w:tc>
      </w:tr>
      <w:tr w:rsidR="00CE544A" w:rsidRPr="00975B07" w14:paraId="61AFC4CD" w14:textId="77777777" w:rsidTr="005F7F7E">
        <w:tc>
          <w:tcPr>
            <w:tcW w:w="2438" w:type="dxa"/>
            <w:shd w:val="clear" w:color="auto" w:fill="auto"/>
          </w:tcPr>
          <w:p w14:paraId="752F38AD" w14:textId="77777777" w:rsidR="00F445B1" w:rsidRPr="00975B07" w:rsidRDefault="00F445B1" w:rsidP="004A6D2F">
            <w:pPr>
              <w:rPr>
                <w:rStyle w:val="Firstpagetablebold"/>
              </w:rPr>
            </w:pPr>
            <w:r w:rsidRPr="00975B07">
              <w:rPr>
                <w:rStyle w:val="Firstpagetablebold"/>
              </w:rPr>
              <w:t>Dat</w:t>
            </w:r>
            <w:r w:rsidR="005C35A5" w:rsidRPr="00975B07">
              <w:rPr>
                <w:rStyle w:val="Firstpagetablebold"/>
              </w:rPr>
              <w:t>e:</w:t>
            </w:r>
          </w:p>
        </w:tc>
        <w:tc>
          <w:tcPr>
            <w:tcW w:w="6406" w:type="dxa"/>
            <w:shd w:val="clear" w:color="auto" w:fill="auto"/>
          </w:tcPr>
          <w:p w14:paraId="2F9E29A1" w14:textId="77777777" w:rsidR="00F445B1" w:rsidRPr="001356F1" w:rsidRDefault="00D32BDF" w:rsidP="005D0621">
            <w:pPr>
              <w:rPr>
                <w:b/>
              </w:rPr>
            </w:pPr>
            <w:r>
              <w:rPr>
                <w:rStyle w:val="Firstpagetablebold"/>
              </w:rPr>
              <w:t>25th February</w:t>
            </w:r>
            <w:r w:rsidR="0095047D">
              <w:rPr>
                <w:rStyle w:val="Firstpagetablebold"/>
              </w:rPr>
              <w:t xml:space="preserve"> 2020</w:t>
            </w:r>
          </w:p>
        </w:tc>
      </w:tr>
      <w:tr w:rsidR="00CE544A" w:rsidRPr="00975B07" w14:paraId="17CB5077" w14:textId="77777777" w:rsidTr="005F7F7E">
        <w:tc>
          <w:tcPr>
            <w:tcW w:w="2438" w:type="dxa"/>
            <w:shd w:val="clear" w:color="auto" w:fill="auto"/>
          </w:tcPr>
          <w:p w14:paraId="2F1DD8F8" w14:textId="77777777" w:rsidR="00F445B1" w:rsidRPr="00975B07" w:rsidRDefault="00F445B1" w:rsidP="004A6D2F">
            <w:pPr>
              <w:rPr>
                <w:rStyle w:val="Firstpagetablebold"/>
              </w:rPr>
            </w:pPr>
            <w:r w:rsidRPr="00975B07">
              <w:rPr>
                <w:rStyle w:val="Firstpagetablebold"/>
              </w:rPr>
              <w:t>Report of</w:t>
            </w:r>
            <w:r w:rsidR="005C35A5" w:rsidRPr="00975B07">
              <w:rPr>
                <w:rStyle w:val="Firstpagetablebold"/>
              </w:rPr>
              <w:t>:</w:t>
            </w:r>
          </w:p>
        </w:tc>
        <w:tc>
          <w:tcPr>
            <w:tcW w:w="6406" w:type="dxa"/>
            <w:shd w:val="clear" w:color="auto" w:fill="auto"/>
          </w:tcPr>
          <w:p w14:paraId="27197C89" w14:textId="77777777" w:rsidR="00F445B1" w:rsidRPr="001356F1" w:rsidRDefault="0095047D" w:rsidP="004A6D2F">
            <w:pPr>
              <w:rPr>
                <w:rStyle w:val="Firstpagetablebold"/>
              </w:rPr>
            </w:pPr>
            <w:r>
              <w:rPr>
                <w:rStyle w:val="Firstpagetablebold"/>
              </w:rPr>
              <w:t>Head of Financial Services</w:t>
            </w:r>
          </w:p>
        </w:tc>
      </w:tr>
      <w:tr w:rsidR="00CE544A" w:rsidRPr="00975B07" w14:paraId="5F6660C5" w14:textId="77777777" w:rsidTr="005F7F7E">
        <w:tc>
          <w:tcPr>
            <w:tcW w:w="2438" w:type="dxa"/>
            <w:shd w:val="clear" w:color="auto" w:fill="auto"/>
          </w:tcPr>
          <w:p w14:paraId="6DDA9DA6" w14:textId="77777777" w:rsidR="00F445B1" w:rsidRPr="00975B07" w:rsidRDefault="00F445B1" w:rsidP="004A6D2F">
            <w:pPr>
              <w:rPr>
                <w:rStyle w:val="Firstpagetablebold"/>
              </w:rPr>
            </w:pPr>
            <w:r w:rsidRPr="00975B07">
              <w:rPr>
                <w:rStyle w:val="Firstpagetablebold"/>
              </w:rPr>
              <w:t xml:space="preserve">Title of Report: </w:t>
            </w:r>
          </w:p>
        </w:tc>
        <w:tc>
          <w:tcPr>
            <w:tcW w:w="6406" w:type="dxa"/>
            <w:shd w:val="clear" w:color="auto" w:fill="auto"/>
          </w:tcPr>
          <w:p w14:paraId="76DEE0E3" w14:textId="77777777" w:rsidR="00F445B1" w:rsidRPr="001356F1" w:rsidRDefault="0095047D" w:rsidP="004A6D2F">
            <w:pPr>
              <w:rPr>
                <w:rStyle w:val="Firstpagetablebold"/>
              </w:rPr>
            </w:pPr>
            <w:r>
              <w:rPr>
                <w:rStyle w:val="Firstpagetablebold"/>
              </w:rPr>
              <w:t>The Social Value Act 2012 and Social Responsibility in Procurement</w:t>
            </w:r>
          </w:p>
        </w:tc>
      </w:tr>
    </w:tbl>
    <w:p w14:paraId="759B4C97" w14:textId="77777777" w:rsidR="004F20EF" w:rsidRDefault="004F20EF"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26"/>
        <w:gridCol w:w="2012"/>
        <w:gridCol w:w="6407"/>
      </w:tblGrid>
      <w:tr w:rsidR="00D5547E" w14:paraId="7189EA6F" w14:textId="77777777" w:rsidTr="0080749A">
        <w:tc>
          <w:tcPr>
            <w:tcW w:w="8845" w:type="dxa"/>
            <w:gridSpan w:val="3"/>
            <w:tcBorders>
              <w:bottom w:val="single" w:sz="8" w:space="0" w:color="000000"/>
            </w:tcBorders>
            <w:hideMark/>
          </w:tcPr>
          <w:p w14:paraId="61D633B1" w14:textId="77777777" w:rsidR="00D5547E" w:rsidRDefault="00745BF0" w:rsidP="00745BF0">
            <w:pPr>
              <w:jc w:val="center"/>
              <w:rPr>
                <w:rStyle w:val="Firstpagetablebold"/>
              </w:rPr>
            </w:pPr>
            <w:r>
              <w:rPr>
                <w:rStyle w:val="Firstpagetablebold"/>
              </w:rPr>
              <w:t>Summary and r</w:t>
            </w:r>
            <w:r w:rsidR="00D5547E">
              <w:rPr>
                <w:rStyle w:val="Firstpagetablebold"/>
              </w:rPr>
              <w:t>ecommendations</w:t>
            </w:r>
          </w:p>
        </w:tc>
      </w:tr>
      <w:tr w:rsidR="00D5547E" w14:paraId="249B571C" w14:textId="77777777" w:rsidTr="0080749A">
        <w:tc>
          <w:tcPr>
            <w:tcW w:w="2438" w:type="dxa"/>
            <w:gridSpan w:val="2"/>
            <w:tcBorders>
              <w:top w:val="single" w:sz="8" w:space="0" w:color="000000"/>
              <w:left w:val="single" w:sz="8" w:space="0" w:color="000000"/>
              <w:bottom w:val="nil"/>
              <w:right w:val="nil"/>
            </w:tcBorders>
            <w:hideMark/>
          </w:tcPr>
          <w:p w14:paraId="52F39C0F" w14:textId="77777777" w:rsidR="00D5547E" w:rsidRDefault="00D5547E">
            <w:pPr>
              <w:rPr>
                <w:rStyle w:val="Firstpagetablebold"/>
              </w:rPr>
            </w:pPr>
            <w:r>
              <w:rPr>
                <w:rStyle w:val="Firstpagetablebold"/>
              </w:rPr>
              <w:t>Purpose of report:</w:t>
            </w:r>
          </w:p>
        </w:tc>
        <w:tc>
          <w:tcPr>
            <w:tcW w:w="6407" w:type="dxa"/>
            <w:tcBorders>
              <w:top w:val="single" w:sz="8" w:space="0" w:color="000000"/>
              <w:left w:val="nil"/>
              <w:bottom w:val="nil"/>
              <w:right w:val="single" w:sz="8" w:space="0" w:color="000000"/>
            </w:tcBorders>
            <w:hideMark/>
          </w:tcPr>
          <w:p w14:paraId="66B6CF7A" w14:textId="77777777" w:rsidR="00FD3CD4" w:rsidRPr="0028246E" w:rsidRDefault="00FD3CD4" w:rsidP="00FD3CD4">
            <w:r w:rsidRPr="0028246E">
              <w:t xml:space="preserve">In December 2018 The Finance Panel </w:t>
            </w:r>
            <w:r>
              <w:t>considered a report on the Council’s response to the Social Value Act 2012 and Local Government Act 1999</w:t>
            </w:r>
            <w:r w:rsidRPr="00AE6C20">
              <w:t xml:space="preserve"> </w:t>
            </w:r>
            <w:r>
              <w:t>with regards to the Procurement of supplies and services.</w:t>
            </w:r>
          </w:p>
          <w:p w14:paraId="0E4267F8" w14:textId="77777777" w:rsidR="00D5547E" w:rsidRPr="001356F1" w:rsidRDefault="00FD3CD4" w:rsidP="00873484">
            <w:r>
              <w:rPr>
                <w:rFonts w:eastAsia="Arial Unicode MS" w:cs="Arial"/>
                <w:color w:val="auto"/>
                <w:lang w:val="en"/>
              </w:rPr>
              <w:t xml:space="preserve">This report </w:t>
            </w:r>
            <w:r w:rsidR="00CD0B14">
              <w:rPr>
                <w:rFonts w:eastAsia="Arial Unicode MS" w:cs="Arial"/>
                <w:color w:val="auto"/>
                <w:lang w:val="en"/>
              </w:rPr>
              <w:t>summaries</w:t>
            </w:r>
            <w:r>
              <w:rPr>
                <w:rFonts w:eastAsia="Arial Unicode MS" w:cs="Arial"/>
                <w:color w:val="auto"/>
                <w:lang w:val="en"/>
              </w:rPr>
              <w:t xml:space="preserve"> progress to date.</w:t>
            </w:r>
          </w:p>
        </w:tc>
      </w:tr>
      <w:tr w:rsidR="00D5547E" w14:paraId="06127DDE" w14:textId="77777777" w:rsidTr="0080749A">
        <w:tc>
          <w:tcPr>
            <w:tcW w:w="2438" w:type="dxa"/>
            <w:gridSpan w:val="2"/>
            <w:tcBorders>
              <w:top w:val="nil"/>
              <w:left w:val="single" w:sz="8" w:space="0" w:color="000000"/>
              <w:bottom w:val="nil"/>
              <w:right w:val="nil"/>
            </w:tcBorders>
            <w:hideMark/>
          </w:tcPr>
          <w:p w14:paraId="7669819E" w14:textId="77777777" w:rsidR="00D5547E" w:rsidRDefault="00D5547E">
            <w:pPr>
              <w:rPr>
                <w:rStyle w:val="Firstpagetablebold"/>
              </w:rPr>
            </w:pPr>
            <w:r>
              <w:rPr>
                <w:rStyle w:val="Firstpagetablebold"/>
              </w:rPr>
              <w:t>Key decision:</w:t>
            </w:r>
          </w:p>
        </w:tc>
        <w:tc>
          <w:tcPr>
            <w:tcW w:w="6407" w:type="dxa"/>
            <w:tcBorders>
              <w:top w:val="nil"/>
              <w:left w:val="nil"/>
              <w:bottom w:val="nil"/>
              <w:right w:val="single" w:sz="8" w:space="0" w:color="000000"/>
            </w:tcBorders>
            <w:hideMark/>
          </w:tcPr>
          <w:p w14:paraId="489E904C" w14:textId="77777777" w:rsidR="00D5547E" w:rsidRPr="007130C8" w:rsidRDefault="00D5547E" w:rsidP="005F7F7E">
            <w:r w:rsidRPr="007130C8">
              <w:rPr>
                <w:color w:val="auto"/>
              </w:rPr>
              <w:t>No</w:t>
            </w:r>
          </w:p>
        </w:tc>
      </w:tr>
      <w:tr w:rsidR="00D5547E" w14:paraId="3ED3ACAC" w14:textId="77777777" w:rsidTr="0080749A">
        <w:tc>
          <w:tcPr>
            <w:tcW w:w="2438" w:type="dxa"/>
            <w:gridSpan w:val="2"/>
            <w:tcBorders>
              <w:top w:val="nil"/>
              <w:left w:val="single" w:sz="8" w:space="0" w:color="000000"/>
              <w:bottom w:val="nil"/>
              <w:right w:val="nil"/>
            </w:tcBorders>
            <w:hideMark/>
          </w:tcPr>
          <w:p w14:paraId="0E73615A" w14:textId="77777777" w:rsidR="00D5547E" w:rsidRDefault="00D860E2">
            <w:pPr>
              <w:rPr>
                <w:rStyle w:val="Firstpagetablebold"/>
              </w:rPr>
            </w:pPr>
            <w:r>
              <w:rPr>
                <w:rStyle w:val="Firstpagetablebold"/>
              </w:rPr>
              <w:t>Cabinet</w:t>
            </w:r>
            <w:r w:rsidR="00D5547E">
              <w:rPr>
                <w:rStyle w:val="Firstpagetablebold"/>
              </w:rPr>
              <w:t xml:space="preserve"> Member:</w:t>
            </w:r>
          </w:p>
        </w:tc>
        <w:tc>
          <w:tcPr>
            <w:tcW w:w="6407" w:type="dxa"/>
            <w:tcBorders>
              <w:top w:val="nil"/>
              <w:left w:val="nil"/>
              <w:bottom w:val="nil"/>
              <w:right w:val="single" w:sz="8" w:space="0" w:color="000000"/>
            </w:tcBorders>
            <w:hideMark/>
          </w:tcPr>
          <w:p w14:paraId="7B6A79E8" w14:textId="77777777" w:rsidR="00D5547E" w:rsidRPr="007130C8" w:rsidRDefault="007130C8" w:rsidP="005F7F7E">
            <w:r w:rsidRPr="007130C8">
              <w:t>Councillor Ed Turner – Cabinet Board Member for Finance and Assets</w:t>
            </w:r>
          </w:p>
        </w:tc>
      </w:tr>
      <w:tr w:rsidR="0080749A" w14:paraId="76732859" w14:textId="77777777" w:rsidTr="0080749A">
        <w:tc>
          <w:tcPr>
            <w:tcW w:w="2438" w:type="dxa"/>
            <w:gridSpan w:val="2"/>
            <w:tcBorders>
              <w:top w:val="nil"/>
              <w:left w:val="single" w:sz="8" w:space="0" w:color="000000"/>
              <w:bottom w:val="nil"/>
              <w:right w:val="nil"/>
            </w:tcBorders>
          </w:tcPr>
          <w:p w14:paraId="599411D5" w14:textId="77777777" w:rsidR="0080749A" w:rsidRDefault="0080749A">
            <w:pPr>
              <w:rPr>
                <w:rStyle w:val="Firstpagetablebold"/>
              </w:rPr>
            </w:pPr>
            <w:r>
              <w:rPr>
                <w:rStyle w:val="Firstpagetablebold"/>
              </w:rPr>
              <w:t>Corporate Priority:</w:t>
            </w:r>
          </w:p>
        </w:tc>
        <w:tc>
          <w:tcPr>
            <w:tcW w:w="6407" w:type="dxa"/>
            <w:tcBorders>
              <w:top w:val="nil"/>
              <w:left w:val="nil"/>
              <w:bottom w:val="nil"/>
              <w:right w:val="single" w:sz="8" w:space="0" w:color="000000"/>
            </w:tcBorders>
          </w:tcPr>
          <w:p w14:paraId="207CFFEF" w14:textId="77777777" w:rsidR="0080749A" w:rsidRPr="00846614" w:rsidRDefault="007130C8" w:rsidP="005F7F7E">
            <w:pPr>
              <w:rPr>
                <w:highlight w:val="yellow"/>
              </w:rPr>
            </w:pPr>
            <w:r w:rsidRPr="007130C8">
              <w:t>Economy, efficiency and effectiveness</w:t>
            </w:r>
          </w:p>
        </w:tc>
      </w:tr>
      <w:tr w:rsidR="00D5547E" w14:paraId="4BC48AF1" w14:textId="77777777" w:rsidTr="0080749A">
        <w:tc>
          <w:tcPr>
            <w:tcW w:w="2438" w:type="dxa"/>
            <w:gridSpan w:val="2"/>
            <w:tcBorders>
              <w:top w:val="nil"/>
              <w:left w:val="single" w:sz="8" w:space="0" w:color="000000"/>
              <w:bottom w:val="nil"/>
              <w:right w:val="nil"/>
            </w:tcBorders>
            <w:hideMark/>
          </w:tcPr>
          <w:p w14:paraId="3ADFC4D6" w14:textId="77777777" w:rsidR="00D5547E" w:rsidRDefault="00D5547E">
            <w:pPr>
              <w:rPr>
                <w:rStyle w:val="Firstpagetablebold"/>
              </w:rPr>
            </w:pPr>
            <w:r>
              <w:rPr>
                <w:rStyle w:val="Firstpagetablebold"/>
              </w:rPr>
              <w:t>Policy Framework:</w:t>
            </w:r>
          </w:p>
        </w:tc>
        <w:tc>
          <w:tcPr>
            <w:tcW w:w="6407" w:type="dxa"/>
            <w:tcBorders>
              <w:top w:val="nil"/>
              <w:left w:val="nil"/>
              <w:bottom w:val="nil"/>
              <w:right w:val="single" w:sz="8" w:space="0" w:color="000000"/>
            </w:tcBorders>
            <w:hideMark/>
          </w:tcPr>
          <w:p w14:paraId="358F0BCD" w14:textId="77777777" w:rsidR="00D5547E" w:rsidRPr="007130C8" w:rsidRDefault="007130C8" w:rsidP="005F7F7E">
            <w:r w:rsidRPr="007130C8">
              <w:t>Corporate and Budgetary framework</w:t>
            </w:r>
          </w:p>
        </w:tc>
      </w:tr>
      <w:tr w:rsidR="005F7F7E" w:rsidRPr="00975B07" w14:paraId="4FC18BFB" w14:textId="77777777" w:rsidTr="00A46E98">
        <w:trPr>
          <w:trHeight w:val="413"/>
        </w:trPr>
        <w:tc>
          <w:tcPr>
            <w:tcW w:w="8845" w:type="dxa"/>
            <w:gridSpan w:val="3"/>
            <w:tcBorders>
              <w:bottom w:val="single" w:sz="8" w:space="0" w:color="000000"/>
            </w:tcBorders>
          </w:tcPr>
          <w:p w14:paraId="4E1326BA" w14:textId="77777777" w:rsidR="005F7F7E" w:rsidRPr="00975B07" w:rsidRDefault="005F7F7E" w:rsidP="00DB7AD7">
            <w:r>
              <w:rPr>
                <w:rStyle w:val="Firstpagetablebold"/>
              </w:rPr>
              <w:t xml:space="preserve">Recommendation(s):That </w:t>
            </w:r>
            <w:r w:rsidR="00DB7AD7">
              <w:rPr>
                <w:rStyle w:val="Firstpagetablebold"/>
              </w:rPr>
              <w:t>Cabinet</w:t>
            </w:r>
            <w:r>
              <w:rPr>
                <w:rStyle w:val="Firstpagetablebold"/>
              </w:rPr>
              <w:t xml:space="preserve"> resolves to:</w:t>
            </w:r>
          </w:p>
        </w:tc>
      </w:tr>
      <w:tr w:rsidR="0030208D" w:rsidRPr="00975B07" w14:paraId="28C26BEE" w14:textId="77777777" w:rsidTr="00A46E98">
        <w:trPr>
          <w:trHeight w:val="283"/>
        </w:trPr>
        <w:tc>
          <w:tcPr>
            <w:tcW w:w="426" w:type="dxa"/>
            <w:tcBorders>
              <w:top w:val="single" w:sz="8" w:space="0" w:color="000000"/>
              <w:left w:val="single" w:sz="8" w:space="0" w:color="000000"/>
              <w:bottom w:val="nil"/>
              <w:right w:val="nil"/>
            </w:tcBorders>
          </w:tcPr>
          <w:p w14:paraId="4F23F0ED" w14:textId="77777777" w:rsidR="0030208D" w:rsidRPr="007130C8" w:rsidRDefault="00046D2B" w:rsidP="004A6D2F">
            <w:pPr>
              <w:rPr>
                <w:color w:val="auto"/>
              </w:rPr>
            </w:pPr>
            <w:r w:rsidRPr="007130C8">
              <w:rPr>
                <w:color w:val="auto"/>
              </w:rPr>
              <w:t>1.</w:t>
            </w:r>
          </w:p>
        </w:tc>
        <w:tc>
          <w:tcPr>
            <w:tcW w:w="8419" w:type="dxa"/>
            <w:gridSpan w:val="2"/>
            <w:tcBorders>
              <w:top w:val="single" w:sz="8" w:space="0" w:color="000000"/>
              <w:left w:val="nil"/>
              <w:bottom w:val="nil"/>
              <w:right w:val="single" w:sz="8" w:space="0" w:color="000000"/>
            </w:tcBorders>
            <w:shd w:val="clear" w:color="auto" w:fill="auto"/>
          </w:tcPr>
          <w:p w14:paraId="30DE9EA6" w14:textId="77777777" w:rsidR="0065325E" w:rsidRDefault="007130C8" w:rsidP="002069B3">
            <w:pPr>
              <w:rPr>
                <w:rStyle w:val="Firstpagetablebold"/>
                <w:b w:val="0"/>
                <w:color w:val="auto"/>
              </w:rPr>
            </w:pPr>
            <w:r w:rsidRPr="007130C8">
              <w:rPr>
                <w:rStyle w:val="Firstpagetablebold"/>
                <w:b w:val="0"/>
                <w:color w:val="auto"/>
              </w:rPr>
              <w:t>Note the report</w:t>
            </w:r>
          </w:p>
          <w:p w14:paraId="67790505" w14:textId="0632643D" w:rsidR="0065325E" w:rsidRPr="007130C8" w:rsidRDefault="0065325E" w:rsidP="00BE2A06">
            <w:pPr>
              <w:ind w:left="199" w:hanging="199"/>
              <w:rPr>
                <w:color w:val="auto"/>
              </w:rPr>
            </w:pPr>
          </w:p>
        </w:tc>
      </w:tr>
      <w:tr w:rsidR="0030208D" w:rsidRPr="00975B07" w14:paraId="05D5E455" w14:textId="77777777" w:rsidTr="00A46E98">
        <w:trPr>
          <w:trHeight w:val="283"/>
        </w:trPr>
        <w:tc>
          <w:tcPr>
            <w:tcW w:w="426" w:type="dxa"/>
            <w:tcBorders>
              <w:top w:val="nil"/>
              <w:left w:val="single" w:sz="8" w:space="0" w:color="000000"/>
              <w:bottom w:val="nil"/>
              <w:right w:val="nil"/>
            </w:tcBorders>
          </w:tcPr>
          <w:p w14:paraId="45B35E81" w14:textId="77777777" w:rsidR="0030208D" w:rsidRPr="00975B07" w:rsidRDefault="0030208D" w:rsidP="004A6D2F"/>
        </w:tc>
        <w:tc>
          <w:tcPr>
            <w:tcW w:w="8419" w:type="dxa"/>
            <w:gridSpan w:val="2"/>
            <w:tcBorders>
              <w:top w:val="nil"/>
              <w:left w:val="nil"/>
              <w:bottom w:val="nil"/>
              <w:right w:val="single" w:sz="8" w:space="0" w:color="000000"/>
            </w:tcBorders>
            <w:shd w:val="clear" w:color="auto" w:fill="auto"/>
          </w:tcPr>
          <w:p w14:paraId="0D3D5AED" w14:textId="77777777" w:rsidR="0030208D" w:rsidRPr="00846614" w:rsidRDefault="0030208D" w:rsidP="002069B3">
            <w:pPr>
              <w:rPr>
                <w:highlight w:val="yellow"/>
              </w:rPr>
            </w:pPr>
          </w:p>
        </w:tc>
      </w:tr>
      <w:tr w:rsidR="00232F5B" w:rsidRPr="00975B07" w14:paraId="1320B55B" w14:textId="77777777" w:rsidTr="00A46E98">
        <w:trPr>
          <w:trHeight w:val="283"/>
        </w:trPr>
        <w:tc>
          <w:tcPr>
            <w:tcW w:w="426" w:type="dxa"/>
            <w:tcBorders>
              <w:top w:val="nil"/>
              <w:left w:val="single" w:sz="8" w:space="0" w:color="000000"/>
              <w:bottom w:val="nil"/>
              <w:right w:val="nil"/>
            </w:tcBorders>
          </w:tcPr>
          <w:p w14:paraId="79A54720" w14:textId="77777777" w:rsidR="0030208D" w:rsidRPr="00975B07" w:rsidRDefault="0030208D" w:rsidP="004A6D2F"/>
        </w:tc>
        <w:tc>
          <w:tcPr>
            <w:tcW w:w="8419" w:type="dxa"/>
            <w:gridSpan w:val="2"/>
            <w:tcBorders>
              <w:top w:val="nil"/>
              <w:left w:val="nil"/>
              <w:bottom w:val="nil"/>
              <w:right w:val="single" w:sz="8" w:space="0" w:color="000000"/>
            </w:tcBorders>
            <w:shd w:val="clear" w:color="auto" w:fill="auto"/>
          </w:tcPr>
          <w:p w14:paraId="54A683F2" w14:textId="77777777" w:rsidR="0030208D" w:rsidRPr="00846614" w:rsidRDefault="0030208D" w:rsidP="002069B3">
            <w:pPr>
              <w:rPr>
                <w:highlight w:val="yellow"/>
              </w:rPr>
            </w:pPr>
          </w:p>
        </w:tc>
      </w:tr>
      <w:tr w:rsidR="00232F5B" w:rsidRPr="00975B07" w14:paraId="647D0CFD" w14:textId="77777777" w:rsidTr="00A46E98">
        <w:trPr>
          <w:trHeight w:val="283"/>
        </w:trPr>
        <w:tc>
          <w:tcPr>
            <w:tcW w:w="426" w:type="dxa"/>
            <w:tcBorders>
              <w:top w:val="nil"/>
              <w:left w:val="single" w:sz="8" w:space="0" w:color="000000"/>
              <w:bottom w:val="nil"/>
              <w:right w:val="nil"/>
            </w:tcBorders>
          </w:tcPr>
          <w:p w14:paraId="68DA20C0" w14:textId="77777777" w:rsidR="0030208D" w:rsidRPr="00975B07" w:rsidRDefault="0030208D" w:rsidP="004A6D2F"/>
        </w:tc>
        <w:tc>
          <w:tcPr>
            <w:tcW w:w="8419" w:type="dxa"/>
            <w:gridSpan w:val="2"/>
            <w:tcBorders>
              <w:top w:val="nil"/>
              <w:left w:val="nil"/>
              <w:bottom w:val="nil"/>
              <w:right w:val="single" w:sz="8" w:space="0" w:color="000000"/>
            </w:tcBorders>
            <w:shd w:val="clear" w:color="auto" w:fill="auto"/>
          </w:tcPr>
          <w:p w14:paraId="1327448A" w14:textId="77777777" w:rsidR="0030208D" w:rsidRPr="00846614" w:rsidRDefault="0030208D" w:rsidP="002069B3">
            <w:pPr>
              <w:rPr>
                <w:highlight w:val="yellow"/>
              </w:rPr>
            </w:pPr>
          </w:p>
        </w:tc>
      </w:tr>
      <w:tr w:rsidR="00232F5B" w:rsidRPr="00975B07" w14:paraId="29CC8055" w14:textId="77777777" w:rsidTr="007130C8">
        <w:trPr>
          <w:trHeight w:val="60"/>
        </w:trPr>
        <w:tc>
          <w:tcPr>
            <w:tcW w:w="426" w:type="dxa"/>
            <w:tcBorders>
              <w:top w:val="nil"/>
              <w:left w:val="single" w:sz="8" w:space="0" w:color="000000"/>
              <w:bottom w:val="single" w:sz="8" w:space="0" w:color="000000"/>
              <w:right w:val="nil"/>
            </w:tcBorders>
          </w:tcPr>
          <w:p w14:paraId="2C684238" w14:textId="77777777" w:rsidR="0030208D" w:rsidRPr="00975B07" w:rsidRDefault="0030208D" w:rsidP="004A6D2F"/>
        </w:tc>
        <w:tc>
          <w:tcPr>
            <w:tcW w:w="8419" w:type="dxa"/>
            <w:gridSpan w:val="2"/>
            <w:tcBorders>
              <w:top w:val="nil"/>
              <w:left w:val="nil"/>
              <w:bottom w:val="single" w:sz="8" w:space="0" w:color="000000"/>
              <w:right w:val="single" w:sz="8" w:space="0" w:color="000000"/>
            </w:tcBorders>
            <w:shd w:val="clear" w:color="auto" w:fill="auto"/>
          </w:tcPr>
          <w:p w14:paraId="36C11EEF" w14:textId="77777777" w:rsidR="0030208D" w:rsidRPr="00846614" w:rsidRDefault="0030208D" w:rsidP="00247C29">
            <w:pPr>
              <w:rPr>
                <w:highlight w:val="yellow"/>
              </w:rPr>
            </w:pPr>
          </w:p>
        </w:tc>
      </w:tr>
    </w:tbl>
    <w:p w14:paraId="2563F7A0" w14:textId="77777777" w:rsidR="00CE544A" w:rsidRPr="009E51FC" w:rsidRDefault="00CE544A"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406"/>
      </w:tblGrid>
      <w:tr w:rsidR="00966D42" w:rsidRPr="00975B07" w14:paraId="5D5292B7" w14:textId="77777777" w:rsidTr="00846614">
        <w:tc>
          <w:tcPr>
            <w:tcW w:w="8844" w:type="dxa"/>
            <w:gridSpan w:val="2"/>
            <w:tcBorders>
              <w:top w:val="single" w:sz="8" w:space="0" w:color="000000"/>
              <w:left w:val="single" w:sz="8" w:space="0" w:color="000000"/>
              <w:bottom w:val="single" w:sz="4" w:space="0" w:color="auto"/>
              <w:right w:val="single" w:sz="8" w:space="0" w:color="000000"/>
            </w:tcBorders>
            <w:shd w:val="clear" w:color="auto" w:fill="auto"/>
          </w:tcPr>
          <w:p w14:paraId="071F7831" w14:textId="77777777" w:rsidR="00966D42" w:rsidRPr="00975B07" w:rsidRDefault="00966D42" w:rsidP="00263EA3">
            <w:pPr>
              <w:jc w:val="center"/>
            </w:pPr>
            <w:r w:rsidRPr="00745BF0">
              <w:rPr>
                <w:rStyle w:val="Firstpagetablebold"/>
              </w:rPr>
              <w:t>Appendices</w:t>
            </w:r>
          </w:p>
        </w:tc>
      </w:tr>
      <w:tr w:rsidR="00ED5860" w:rsidRPr="00975B07" w14:paraId="73BF7F69" w14:textId="77777777" w:rsidTr="00846614">
        <w:tc>
          <w:tcPr>
            <w:tcW w:w="2438" w:type="dxa"/>
            <w:tcBorders>
              <w:top w:val="single" w:sz="4" w:space="0" w:color="auto"/>
              <w:left w:val="single" w:sz="4" w:space="0" w:color="auto"/>
              <w:bottom w:val="single" w:sz="4" w:space="0" w:color="auto"/>
              <w:right w:val="single" w:sz="4" w:space="0" w:color="auto"/>
            </w:tcBorders>
            <w:shd w:val="clear" w:color="auto" w:fill="auto"/>
          </w:tcPr>
          <w:p w14:paraId="43D3690C" w14:textId="77777777" w:rsidR="00CD3BF5" w:rsidRDefault="00CD3BF5" w:rsidP="004A6D2F">
            <w:r>
              <w:t>Appendix 1</w:t>
            </w:r>
          </w:p>
          <w:p w14:paraId="2071C0C9" w14:textId="77777777" w:rsidR="00ED5860" w:rsidRPr="00975B07" w:rsidRDefault="00ED5860" w:rsidP="004A6D2F">
            <w:r w:rsidRPr="00975B07">
              <w:t xml:space="preserve">Appendix </w:t>
            </w:r>
            <w:r w:rsidR="00CD3BF5">
              <w:t>2</w:t>
            </w:r>
          </w:p>
        </w:tc>
        <w:tc>
          <w:tcPr>
            <w:tcW w:w="6406" w:type="dxa"/>
            <w:tcBorders>
              <w:top w:val="single" w:sz="4" w:space="0" w:color="auto"/>
              <w:left w:val="single" w:sz="4" w:space="0" w:color="auto"/>
              <w:bottom w:val="single" w:sz="4" w:space="0" w:color="auto"/>
              <w:right w:val="single" w:sz="4" w:space="0" w:color="auto"/>
            </w:tcBorders>
          </w:tcPr>
          <w:p w14:paraId="46FDA72D" w14:textId="77777777" w:rsidR="00CD3BF5" w:rsidRPr="00CD3BF5" w:rsidRDefault="00CD3BF5" w:rsidP="00CD3BF5">
            <w:r w:rsidRPr="00CD3BF5">
              <w:t>Social Value Question for ITTs and RFQs</w:t>
            </w:r>
          </w:p>
          <w:p w14:paraId="0C03401E" w14:textId="77777777" w:rsidR="00ED5860" w:rsidRPr="001356F1" w:rsidRDefault="00FD3CD4" w:rsidP="004A6D2F">
            <w:r>
              <w:t>Break down of social value achieved on procurements from suppliers 2019</w:t>
            </w:r>
          </w:p>
        </w:tc>
      </w:tr>
    </w:tbl>
    <w:p w14:paraId="6D663470" w14:textId="77777777" w:rsidR="00DC3923" w:rsidRDefault="00DC3923" w:rsidP="00DC3923">
      <w:pPr>
        <w:pStyle w:val="ListParagraph"/>
        <w:sectPr w:rsidR="00DC3923" w:rsidSect="002C4FF7">
          <w:footerReference w:type="even" r:id="rId13"/>
          <w:headerReference w:type="first" r:id="rId14"/>
          <w:footerReference w:type="first" r:id="rId15"/>
          <w:pgSz w:w="11906" w:h="16838" w:code="9"/>
          <w:pgMar w:top="568" w:right="1304" w:bottom="1304" w:left="1304" w:header="709" w:footer="680" w:gutter="0"/>
          <w:cols w:space="708"/>
          <w:titlePg/>
          <w:docGrid w:linePitch="360"/>
        </w:sectPr>
      </w:pPr>
    </w:p>
    <w:p w14:paraId="1487C80C" w14:textId="26B0F2FA" w:rsidR="002C4FF7" w:rsidRDefault="002C4FF7" w:rsidP="00DC3923">
      <w:pPr>
        <w:pStyle w:val="ListParagraph"/>
        <w:numPr>
          <w:ilvl w:val="0"/>
          <w:numId w:val="0"/>
        </w:numPr>
        <w:ind w:left="360"/>
      </w:pPr>
    </w:p>
    <w:p w14:paraId="3812333A" w14:textId="77777777" w:rsidR="0040736F" w:rsidRPr="00DC3923" w:rsidRDefault="00F66DCA" w:rsidP="00DC3923">
      <w:pPr>
        <w:pStyle w:val="Heading1"/>
      </w:pPr>
      <w:r w:rsidRPr="00DC3923">
        <w:lastRenderedPageBreak/>
        <w:t>Introduction and b</w:t>
      </w:r>
      <w:r w:rsidR="00151888" w:rsidRPr="00DC3923">
        <w:t>ackground</w:t>
      </w:r>
      <w:r w:rsidR="00404032" w:rsidRPr="00DC3923">
        <w:t xml:space="preserve"> </w:t>
      </w:r>
    </w:p>
    <w:p w14:paraId="2D43FAC2" w14:textId="77777777" w:rsidR="007022DA" w:rsidRDefault="007022DA" w:rsidP="00C90068">
      <w:pPr>
        <w:ind w:left="720" w:hanging="720"/>
      </w:pPr>
      <w:r w:rsidRPr="007022DA">
        <w:t xml:space="preserve">1.1 </w:t>
      </w:r>
      <w:r w:rsidR="00C90068">
        <w:tab/>
      </w:r>
      <w:r>
        <w:t>Social Value is considered as the wider benefit gained by the local community</w:t>
      </w:r>
      <w:r w:rsidR="000901F9">
        <w:t>,</w:t>
      </w:r>
      <w:r>
        <w:t xml:space="preserve"> businesses and the environment through the better spending of public money.</w:t>
      </w:r>
    </w:p>
    <w:p w14:paraId="23F7B148" w14:textId="77777777" w:rsidR="000901F9" w:rsidRDefault="007022DA" w:rsidP="00C90068">
      <w:pPr>
        <w:ind w:left="720" w:hanging="720"/>
      </w:pPr>
      <w:r>
        <w:t xml:space="preserve">1.2 </w:t>
      </w:r>
      <w:r w:rsidR="00C90068">
        <w:tab/>
      </w:r>
      <w:r>
        <w:t>In December 2018 The Finance Panel considered a report on the Council’s response to the Social Value Act 2012 and Local Government Act 1999 with regards to the Procurement of supplies and services.</w:t>
      </w:r>
      <w:r w:rsidR="000901F9">
        <w:t xml:space="preserve"> Recommendations from Finance Panel were subsequently approved by Cabinet (formally known as City Executive Board) on 13</w:t>
      </w:r>
      <w:r w:rsidR="000901F9" w:rsidRPr="007130C8">
        <w:rPr>
          <w:vertAlign w:val="superscript"/>
        </w:rPr>
        <w:t>th</w:t>
      </w:r>
      <w:r w:rsidR="000901F9">
        <w:t xml:space="preserve"> March 2019. This report provides an update on progress to date on the embedding of these recommendations into procurement processes.</w:t>
      </w:r>
    </w:p>
    <w:p w14:paraId="7058D199" w14:textId="77777777" w:rsidR="00E25B76" w:rsidRPr="007022DA" w:rsidRDefault="00E25B76" w:rsidP="007022DA"/>
    <w:p w14:paraId="1A6DCE80" w14:textId="16FC4485" w:rsidR="0021258F" w:rsidRDefault="0021258F" w:rsidP="00DC3923">
      <w:pPr>
        <w:pStyle w:val="Heading1"/>
      </w:pPr>
      <w:r w:rsidRPr="0021258F">
        <w:t>Progress</w:t>
      </w:r>
      <w:r>
        <w:t xml:space="preserve"> to date</w:t>
      </w:r>
    </w:p>
    <w:p w14:paraId="0197B7FB" w14:textId="77777777" w:rsidR="00FD3CD4" w:rsidRPr="000206E9" w:rsidRDefault="007022DA" w:rsidP="007022DA">
      <w:pPr>
        <w:ind w:left="360" w:hanging="360"/>
        <w:rPr>
          <w:b/>
        </w:rPr>
      </w:pPr>
      <w:r>
        <w:t xml:space="preserve">2.1 </w:t>
      </w:r>
      <w:r w:rsidR="00C90068">
        <w:tab/>
      </w:r>
      <w:r w:rsidR="0021258F" w:rsidRPr="0021258F">
        <w:t>The agreed recommendations were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1683"/>
        <w:gridCol w:w="1693"/>
        <w:gridCol w:w="1547"/>
      </w:tblGrid>
      <w:tr w:rsidR="0021258F" w14:paraId="3E4D922A" w14:textId="77777777" w:rsidTr="00394B5F">
        <w:tc>
          <w:tcPr>
            <w:tcW w:w="9288" w:type="dxa"/>
            <w:gridSpan w:val="4"/>
            <w:shd w:val="clear" w:color="auto" w:fill="auto"/>
            <w:vAlign w:val="center"/>
          </w:tcPr>
          <w:p w14:paraId="3479C37E" w14:textId="77777777" w:rsidR="0021258F" w:rsidRPr="007D1CBF" w:rsidRDefault="0021258F" w:rsidP="0021258F">
            <w:pPr>
              <w:rPr>
                <w:b/>
              </w:rPr>
            </w:pPr>
            <w:r>
              <w:rPr>
                <w:b/>
              </w:rPr>
              <w:t>Table 1: Recommendations agreed at CEB in regard to Social Value</w:t>
            </w:r>
          </w:p>
        </w:tc>
      </w:tr>
      <w:tr w:rsidR="00FD3CD4" w14:paraId="0BF365F5" w14:textId="77777777" w:rsidTr="0021258F">
        <w:tc>
          <w:tcPr>
            <w:tcW w:w="4365" w:type="dxa"/>
            <w:shd w:val="clear" w:color="auto" w:fill="auto"/>
            <w:vAlign w:val="center"/>
          </w:tcPr>
          <w:p w14:paraId="40ED2EFC" w14:textId="77777777" w:rsidR="00FD3CD4" w:rsidRPr="007D1CBF" w:rsidRDefault="00FD3CD4" w:rsidP="00FD3CD4">
            <w:pPr>
              <w:rPr>
                <w:b/>
              </w:rPr>
            </w:pPr>
            <w:r w:rsidRPr="007D1CBF">
              <w:rPr>
                <w:b/>
              </w:rPr>
              <w:t>Agreed</w:t>
            </w:r>
            <w:r>
              <w:rPr>
                <w:b/>
              </w:rPr>
              <w:t xml:space="preserve"> CEB</w:t>
            </w:r>
            <w:r w:rsidRPr="007D1CBF">
              <w:rPr>
                <w:b/>
              </w:rPr>
              <w:t xml:space="preserve"> Milestone Description</w:t>
            </w:r>
          </w:p>
        </w:tc>
        <w:tc>
          <w:tcPr>
            <w:tcW w:w="1683" w:type="dxa"/>
            <w:shd w:val="clear" w:color="auto" w:fill="auto"/>
            <w:vAlign w:val="center"/>
          </w:tcPr>
          <w:p w14:paraId="663053E9" w14:textId="77777777" w:rsidR="00FD3CD4" w:rsidRPr="007D1CBF" w:rsidRDefault="00FD3CD4" w:rsidP="00FD3CD4">
            <w:pPr>
              <w:rPr>
                <w:b/>
              </w:rPr>
            </w:pPr>
            <w:r w:rsidRPr="007D1CBF">
              <w:rPr>
                <w:b/>
              </w:rPr>
              <w:t>Target Date</w:t>
            </w:r>
          </w:p>
        </w:tc>
        <w:tc>
          <w:tcPr>
            <w:tcW w:w="1693" w:type="dxa"/>
            <w:shd w:val="clear" w:color="auto" w:fill="auto"/>
            <w:vAlign w:val="center"/>
          </w:tcPr>
          <w:p w14:paraId="670FEDBB" w14:textId="77777777" w:rsidR="00FD3CD4" w:rsidRPr="007D1CBF" w:rsidRDefault="00FD3CD4" w:rsidP="00FD3CD4">
            <w:pPr>
              <w:jc w:val="center"/>
              <w:rPr>
                <w:b/>
              </w:rPr>
            </w:pPr>
            <w:r w:rsidRPr="007D1CBF">
              <w:rPr>
                <w:b/>
              </w:rPr>
              <w:t>Completion Date</w:t>
            </w:r>
          </w:p>
        </w:tc>
        <w:tc>
          <w:tcPr>
            <w:tcW w:w="1547" w:type="dxa"/>
            <w:shd w:val="clear" w:color="auto" w:fill="auto"/>
            <w:vAlign w:val="center"/>
          </w:tcPr>
          <w:p w14:paraId="692001D6" w14:textId="77777777" w:rsidR="00FD3CD4" w:rsidRPr="007D1CBF" w:rsidRDefault="00FD3CD4" w:rsidP="00FD3CD4">
            <w:pPr>
              <w:jc w:val="center"/>
              <w:rPr>
                <w:b/>
              </w:rPr>
            </w:pPr>
            <w:r w:rsidRPr="007D1CBF">
              <w:rPr>
                <w:b/>
              </w:rPr>
              <w:t>% Complete</w:t>
            </w:r>
          </w:p>
        </w:tc>
      </w:tr>
      <w:tr w:rsidR="00FD3CD4" w14:paraId="4FA25315" w14:textId="77777777" w:rsidTr="0021258F">
        <w:tc>
          <w:tcPr>
            <w:tcW w:w="4365" w:type="dxa"/>
            <w:shd w:val="clear" w:color="auto" w:fill="auto"/>
          </w:tcPr>
          <w:p w14:paraId="139B1B1C" w14:textId="77777777" w:rsidR="00FD3CD4" w:rsidRDefault="00FD3CD4" w:rsidP="00FD3CD4">
            <w:r>
              <w:t>M</w:t>
            </w:r>
            <w:r w:rsidRPr="007D1CBF">
              <w:t xml:space="preserve">inimum requirement of 5% weighting on </w:t>
            </w:r>
            <w:r w:rsidRPr="007D1CBF">
              <w:rPr>
                <w:b/>
              </w:rPr>
              <w:t>all non OJEU</w:t>
            </w:r>
            <w:r w:rsidRPr="007D1CBF">
              <w:t xml:space="preserve"> (below £180k) tenders to be included on all procurement templates</w:t>
            </w:r>
          </w:p>
        </w:tc>
        <w:tc>
          <w:tcPr>
            <w:tcW w:w="1683" w:type="dxa"/>
            <w:shd w:val="clear" w:color="auto" w:fill="auto"/>
          </w:tcPr>
          <w:p w14:paraId="406BB001" w14:textId="77777777" w:rsidR="00FD3CD4" w:rsidRPr="007D1CBF" w:rsidRDefault="00FD3CD4" w:rsidP="00394B5F"/>
          <w:p w14:paraId="7E4BDDFE" w14:textId="77777777" w:rsidR="00FD3CD4" w:rsidRPr="007D1CBF" w:rsidRDefault="00FD3CD4" w:rsidP="00394B5F">
            <w:pPr>
              <w:jc w:val="center"/>
            </w:pPr>
            <w:r w:rsidRPr="007D1CBF">
              <w:t>December 2019</w:t>
            </w:r>
          </w:p>
        </w:tc>
        <w:tc>
          <w:tcPr>
            <w:tcW w:w="1693" w:type="dxa"/>
            <w:shd w:val="clear" w:color="auto" w:fill="auto"/>
          </w:tcPr>
          <w:p w14:paraId="3F904BFD" w14:textId="77777777" w:rsidR="00FD3CD4" w:rsidRPr="007D1CBF" w:rsidRDefault="00FD3CD4" w:rsidP="00394B5F"/>
          <w:p w14:paraId="1DC00659" w14:textId="77777777" w:rsidR="00FD3CD4" w:rsidRPr="007D1CBF" w:rsidRDefault="00FD3CD4" w:rsidP="00394B5F">
            <w:pPr>
              <w:jc w:val="center"/>
            </w:pPr>
            <w:r w:rsidRPr="007D1CBF">
              <w:t>May 2019</w:t>
            </w:r>
          </w:p>
        </w:tc>
        <w:tc>
          <w:tcPr>
            <w:tcW w:w="1547" w:type="dxa"/>
            <w:shd w:val="clear" w:color="auto" w:fill="auto"/>
          </w:tcPr>
          <w:p w14:paraId="6AC04B36" w14:textId="77777777" w:rsidR="00FD3CD4" w:rsidRPr="007D1CBF" w:rsidRDefault="00FD3CD4" w:rsidP="00394B5F">
            <w:pPr>
              <w:jc w:val="center"/>
            </w:pPr>
          </w:p>
          <w:p w14:paraId="6E125060" w14:textId="77777777" w:rsidR="00FD3CD4" w:rsidRPr="007D1CBF" w:rsidRDefault="00FD3CD4" w:rsidP="00394B5F">
            <w:pPr>
              <w:jc w:val="center"/>
            </w:pPr>
            <w:r w:rsidRPr="007D1CBF">
              <w:t>100%</w:t>
            </w:r>
          </w:p>
        </w:tc>
      </w:tr>
      <w:tr w:rsidR="00FD3CD4" w14:paraId="0EA15C09" w14:textId="77777777" w:rsidTr="0021258F">
        <w:tc>
          <w:tcPr>
            <w:tcW w:w="4365" w:type="dxa"/>
            <w:shd w:val="clear" w:color="auto" w:fill="auto"/>
          </w:tcPr>
          <w:p w14:paraId="215A2F29" w14:textId="77777777" w:rsidR="00FD3CD4" w:rsidRPr="007D1CBF" w:rsidRDefault="00FD3CD4" w:rsidP="00FD3CD4">
            <w:r>
              <w:t>M</w:t>
            </w:r>
            <w:r w:rsidRPr="007D1CBF">
              <w:t>inimum requirement of 10% weighting on all non OJEU (below £180k) tenders to be included on all procurement templates in 2020</w:t>
            </w:r>
          </w:p>
        </w:tc>
        <w:tc>
          <w:tcPr>
            <w:tcW w:w="1683" w:type="dxa"/>
            <w:shd w:val="clear" w:color="auto" w:fill="auto"/>
          </w:tcPr>
          <w:p w14:paraId="1BD00C44" w14:textId="77777777" w:rsidR="00FD3CD4" w:rsidRPr="007D1CBF" w:rsidRDefault="00FD3CD4" w:rsidP="00394B5F">
            <w:pPr>
              <w:jc w:val="center"/>
            </w:pPr>
          </w:p>
          <w:p w14:paraId="1773546A" w14:textId="77777777" w:rsidR="00FD3CD4" w:rsidRPr="007D1CBF" w:rsidRDefault="00FD3CD4" w:rsidP="00394B5F">
            <w:pPr>
              <w:jc w:val="center"/>
            </w:pPr>
            <w:r w:rsidRPr="007D1CBF">
              <w:t>December 2020</w:t>
            </w:r>
          </w:p>
        </w:tc>
        <w:tc>
          <w:tcPr>
            <w:tcW w:w="1693" w:type="dxa"/>
            <w:shd w:val="clear" w:color="auto" w:fill="auto"/>
          </w:tcPr>
          <w:p w14:paraId="3E7A1377" w14:textId="77777777" w:rsidR="00FD3CD4" w:rsidRPr="007D1CBF" w:rsidRDefault="00FD3CD4" w:rsidP="00394B5F"/>
        </w:tc>
        <w:tc>
          <w:tcPr>
            <w:tcW w:w="1547" w:type="dxa"/>
            <w:shd w:val="clear" w:color="auto" w:fill="auto"/>
          </w:tcPr>
          <w:p w14:paraId="6C499578" w14:textId="77777777" w:rsidR="00FD3CD4" w:rsidRPr="007D1CBF" w:rsidRDefault="00FD3CD4" w:rsidP="00394B5F">
            <w:pPr>
              <w:jc w:val="center"/>
            </w:pPr>
          </w:p>
          <w:p w14:paraId="5DF8033E" w14:textId="77777777" w:rsidR="00FD3CD4" w:rsidRPr="007D1CBF" w:rsidRDefault="00FD3CD4" w:rsidP="00394B5F">
            <w:pPr>
              <w:jc w:val="center"/>
            </w:pPr>
            <w:r w:rsidRPr="007D1CBF">
              <w:t>0%</w:t>
            </w:r>
          </w:p>
        </w:tc>
      </w:tr>
      <w:tr w:rsidR="00FD3CD4" w14:paraId="26F4AB66" w14:textId="77777777" w:rsidTr="0021258F">
        <w:tc>
          <w:tcPr>
            <w:tcW w:w="4365" w:type="dxa"/>
            <w:shd w:val="clear" w:color="auto" w:fill="auto"/>
          </w:tcPr>
          <w:p w14:paraId="5F547812" w14:textId="77777777" w:rsidR="00FD3CD4" w:rsidRPr="007D1CBF" w:rsidRDefault="00FD3CD4" w:rsidP="00394B5F">
            <w:r>
              <w:t>M</w:t>
            </w:r>
            <w:r w:rsidRPr="007D1CBF">
              <w:t>inimum requirement of 15% weighting on all non OJEU (below £180k) tenders to be included on all procurement templates in 2021</w:t>
            </w:r>
          </w:p>
        </w:tc>
        <w:tc>
          <w:tcPr>
            <w:tcW w:w="1683" w:type="dxa"/>
            <w:shd w:val="clear" w:color="auto" w:fill="auto"/>
          </w:tcPr>
          <w:p w14:paraId="468F2A39" w14:textId="77777777" w:rsidR="00FD3CD4" w:rsidRPr="007D1CBF" w:rsidRDefault="00FD3CD4" w:rsidP="00394B5F">
            <w:pPr>
              <w:jc w:val="center"/>
            </w:pPr>
          </w:p>
          <w:p w14:paraId="7D53A4D2" w14:textId="77777777" w:rsidR="00FD3CD4" w:rsidRPr="007D1CBF" w:rsidRDefault="00FD3CD4" w:rsidP="00394B5F">
            <w:pPr>
              <w:jc w:val="center"/>
            </w:pPr>
            <w:r w:rsidRPr="007D1CBF">
              <w:t>December 2021</w:t>
            </w:r>
          </w:p>
        </w:tc>
        <w:tc>
          <w:tcPr>
            <w:tcW w:w="1693" w:type="dxa"/>
            <w:shd w:val="clear" w:color="auto" w:fill="auto"/>
          </w:tcPr>
          <w:p w14:paraId="0CE6FD82" w14:textId="77777777" w:rsidR="00FD3CD4" w:rsidRPr="007D1CBF" w:rsidRDefault="00FD3CD4" w:rsidP="00394B5F"/>
        </w:tc>
        <w:tc>
          <w:tcPr>
            <w:tcW w:w="1547" w:type="dxa"/>
            <w:shd w:val="clear" w:color="auto" w:fill="auto"/>
          </w:tcPr>
          <w:p w14:paraId="14982963" w14:textId="77777777" w:rsidR="00FD3CD4" w:rsidRPr="007D1CBF" w:rsidRDefault="00FD3CD4" w:rsidP="00394B5F">
            <w:pPr>
              <w:jc w:val="center"/>
            </w:pPr>
          </w:p>
          <w:p w14:paraId="2C78878B" w14:textId="77777777" w:rsidR="00FD3CD4" w:rsidRPr="007D1CBF" w:rsidRDefault="00FD3CD4" w:rsidP="00394B5F">
            <w:pPr>
              <w:jc w:val="center"/>
            </w:pPr>
            <w:r w:rsidRPr="007D1CBF">
              <w:t>0%</w:t>
            </w:r>
          </w:p>
        </w:tc>
      </w:tr>
    </w:tbl>
    <w:p w14:paraId="136041F9" w14:textId="77777777" w:rsidR="00FD3CD4" w:rsidRDefault="00FD3CD4" w:rsidP="00FD3CD4"/>
    <w:p w14:paraId="6ECF9FBB" w14:textId="77777777" w:rsidR="00AA68DF" w:rsidRDefault="000901F9" w:rsidP="00C90068">
      <w:pPr>
        <w:ind w:left="720" w:hanging="720"/>
      </w:pPr>
      <w:r>
        <w:t xml:space="preserve">2.2 </w:t>
      </w:r>
      <w:r w:rsidR="00C90068">
        <w:tab/>
      </w:r>
      <w:r>
        <w:t xml:space="preserve">The Procurement Team continually identify and implement improved processes and exceeded the first recommendation above by adding the 5% weighting to </w:t>
      </w:r>
      <w:r w:rsidRPr="00A66663">
        <w:rPr>
          <w:b/>
        </w:rPr>
        <w:t>all</w:t>
      </w:r>
      <w:r>
        <w:t xml:space="preserve"> Procurement templates </w:t>
      </w:r>
      <w:r w:rsidR="008177D2">
        <w:t>i.e.</w:t>
      </w:r>
      <w:r w:rsidR="00AA68DF">
        <w:t xml:space="preserve"> OJEU</w:t>
      </w:r>
      <w:r w:rsidR="00DE636E">
        <w:t>,</w:t>
      </w:r>
      <w:r w:rsidR="00AA68DF">
        <w:t xml:space="preserve"> non OJEU and </w:t>
      </w:r>
      <w:r w:rsidR="00DE636E">
        <w:t xml:space="preserve">Request for </w:t>
      </w:r>
      <w:r w:rsidR="00E778B4">
        <w:t>Quotes</w:t>
      </w:r>
      <w:r w:rsidR="00DE636E">
        <w:t xml:space="preserve"> </w:t>
      </w:r>
      <w:r>
        <w:t xml:space="preserve">to capture Social Value on </w:t>
      </w:r>
      <w:r w:rsidRPr="00A66663">
        <w:t>all</w:t>
      </w:r>
      <w:r>
        <w:t xml:space="preserve"> low and high </w:t>
      </w:r>
      <w:r w:rsidR="00E778B4">
        <w:t>value projects</w:t>
      </w:r>
      <w:r>
        <w:t>.</w:t>
      </w:r>
    </w:p>
    <w:p w14:paraId="2E2FC491" w14:textId="77777777" w:rsidR="00AA68DF" w:rsidRDefault="00AA68DF" w:rsidP="00C90068">
      <w:pPr>
        <w:ind w:left="720" w:hanging="720"/>
      </w:pPr>
      <w:r>
        <w:t xml:space="preserve">2.3 </w:t>
      </w:r>
      <w:r w:rsidR="00C90068">
        <w:tab/>
      </w:r>
      <w:r>
        <w:t>In addition to the above the Procurement Team have also introduced the e</w:t>
      </w:r>
      <w:r w:rsidRPr="007D1CBF">
        <w:t xml:space="preserve">valuation of suppliers in compliance to the Modern Slavery Act 2015 for both </w:t>
      </w:r>
      <w:proofErr w:type="gramStart"/>
      <w:r w:rsidRPr="007D1CBF">
        <w:t>I</w:t>
      </w:r>
      <w:r>
        <w:t>nvitation</w:t>
      </w:r>
      <w:proofErr w:type="gramEnd"/>
      <w:r>
        <w:t xml:space="preserve"> to Tender (I</w:t>
      </w:r>
      <w:r w:rsidRPr="007D1CBF">
        <w:t>TT</w:t>
      </w:r>
      <w:r>
        <w:t>)</w:t>
      </w:r>
      <w:r w:rsidRPr="007D1CBF">
        <w:t xml:space="preserve"> and R</w:t>
      </w:r>
      <w:r>
        <w:t>equest for Quote (RFQ)</w:t>
      </w:r>
      <w:r w:rsidR="00AA2E61">
        <w:t>.</w:t>
      </w:r>
    </w:p>
    <w:p w14:paraId="7994BD6C" w14:textId="77777777" w:rsidR="00CE582F" w:rsidRDefault="00CE582F" w:rsidP="00AA68DF">
      <w:pPr>
        <w:ind w:left="426" w:hanging="426"/>
      </w:pPr>
    </w:p>
    <w:p w14:paraId="5A33D4C4" w14:textId="77777777" w:rsidR="00FD3CD4" w:rsidRPr="007022DA" w:rsidRDefault="00FD3CD4" w:rsidP="00DC3923">
      <w:pPr>
        <w:pStyle w:val="Heading1"/>
      </w:pPr>
      <w:r w:rsidRPr="007022DA">
        <w:t>Data report for Social Value proposals 2019</w:t>
      </w:r>
    </w:p>
    <w:p w14:paraId="117638D9" w14:textId="77777777" w:rsidR="000206E9" w:rsidRPr="004D5635" w:rsidRDefault="000206E9" w:rsidP="000206E9">
      <w:pPr>
        <w:pStyle w:val="ListParagraph"/>
        <w:numPr>
          <w:ilvl w:val="0"/>
          <w:numId w:val="0"/>
        </w:numPr>
        <w:spacing w:after="0"/>
        <w:ind w:left="360"/>
      </w:pPr>
    </w:p>
    <w:p w14:paraId="7F6FA7E8" w14:textId="77777777" w:rsidR="0021258F" w:rsidRDefault="007022DA" w:rsidP="00C90068">
      <w:pPr>
        <w:spacing w:after="0"/>
        <w:ind w:left="720" w:hanging="720"/>
      </w:pPr>
      <w:r>
        <w:t xml:space="preserve">3.1 </w:t>
      </w:r>
      <w:r w:rsidR="00C90068">
        <w:tab/>
      </w:r>
      <w:r w:rsidR="0021258F">
        <w:t xml:space="preserve">The concept of social value </w:t>
      </w:r>
      <w:r w:rsidR="006A7E13" w:rsidRPr="006A7E13">
        <w:t>and the subsequent agreement</w:t>
      </w:r>
      <w:r w:rsidR="0021258F">
        <w:t xml:space="preserve"> to include within the evaluation of the procurement of goods and services </w:t>
      </w:r>
      <w:r w:rsidR="00E778B4">
        <w:t>when relevant and proportionate</w:t>
      </w:r>
      <w:r w:rsidR="00CE582F">
        <w:t>,</w:t>
      </w:r>
      <w:r w:rsidR="0021258F">
        <w:t xml:space="preserve"> has been introduced not only into the Council but also into the business undertaken </w:t>
      </w:r>
      <w:r w:rsidR="005A0F5E">
        <w:t>by</w:t>
      </w:r>
      <w:r w:rsidR="0021258F">
        <w:t xml:space="preserve"> the Councils wholly owned companies, Oxford Direct Services Ltd (ODSL) and Oxford City Housing Limited (OCHL).</w:t>
      </w:r>
    </w:p>
    <w:p w14:paraId="79896FA1" w14:textId="77777777" w:rsidR="0021258F" w:rsidRDefault="0021258F" w:rsidP="000206E9">
      <w:pPr>
        <w:spacing w:after="0"/>
      </w:pPr>
    </w:p>
    <w:p w14:paraId="288C7989" w14:textId="77777777" w:rsidR="00FD3CD4" w:rsidRDefault="007022DA" w:rsidP="00C90068">
      <w:pPr>
        <w:spacing w:after="0"/>
        <w:ind w:left="720" w:hanging="720"/>
      </w:pPr>
      <w:r>
        <w:t xml:space="preserve">3.2 </w:t>
      </w:r>
      <w:r w:rsidR="00C90068">
        <w:tab/>
      </w:r>
      <w:r w:rsidR="00FD3CD4">
        <w:t>The data is taken from the suppliers</w:t>
      </w:r>
      <w:r w:rsidR="0021258F">
        <w:t xml:space="preserve"> written response/submission to</w:t>
      </w:r>
      <w:r w:rsidR="00FD3CD4">
        <w:t xml:space="preserve"> </w:t>
      </w:r>
      <w:r w:rsidR="005A0F5E">
        <w:t>the Council’s</w:t>
      </w:r>
      <w:r w:rsidR="00FD3CD4">
        <w:t xml:space="preserve"> requirements </w:t>
      </w:r>
      <w:r w:rsidR="005A0F5E">
        <w:t xml:space="preserve">for each </w:t>
      </w:r>
      <w:r w:rsidR="00FD3CD4">
        <w:t xml:space="preserve">project and therefore may not have included </w:t>
      </w:r>
      <w:r w:rsidR="00FD3CD4">
        <w:lastRenderedPageBreak/>
        <w:t xml:space="preserve">everything they treat as </w:t>
      </w:r>
      <w:r w:rsidR="003103C2">
        <w:t>‘</w:t>
      </w:r>
      <w:r w:rsidR="00FD3CD4">
        <w:t>business as normal</w:t>
      </w:r>
      <w:r w:rsidR="003103C2">
        <w:t>’</w:t>
      </w:r>
      <w:r w:rsidR="00FD3CD4">
        <w:t>, such as paying the Living wage, using electric vehicles, waste recycling, paperless systems etc.</w:t>
      </w:r>
    </w:p>
    <w:p w14:paraId="301F54F6" w14:textId="77777777" w:rsidR="000206E9" w:rsidRDefault="000206E9" w:rsidP="000206E9">
      <w:pPr>
        <w:spacing w:after="0"/>
      </w:pPr>
    </w:p>
    <w:p w14:paraId="3D0B3330" w14:textId="77777777" w:rsidR="00FD3CD4" w:rsidRDefault="007022DA" w:rsidP="00C90068">
      <w:pPr>
        <w:spacing w:after="0"/>
        <w:ind w:left="720" w:hanging="720"/>
      </w:pPr>
      <w:r>
        <w:t xml:space="preserve">3.3 </w:t>
      </w:r>
      <w:r w:rsidR="00C90068">
        <w:tab/>
      </w:r>
      <w:r w:rsidR="00D87155">
        <w:t>Some Request for Quote</w:t>
      </w:r>
      <w:r w:rsidR="00FD3CD4">
        <w:t xml:space="preserve"> Social Value responses are currently not captured on the Contract Register, this is because a formal contract is not required due to a Purchase Order constituting the contract.</w:t>
      </w:r>
    </w:p>
    <w:p w14:paraId="71B79FC3" w14:textId="77777777" w:rsidR="000206E9" w:rsidRDefault="000206E9" w:rsidP="000206E9">
      <w:pPr>
        <w:spacing w:after="0"/>
      </w:pPr>
    </w:p>
    <w:p w14:paraId="2C78E830" w14:textId="77777777" w:rsidR="00D87155" w:rsidRDefault="007022DA" w:rsidP="00C90068">
      <w:pPr>
        <w:spacing w:after="0"/>
        <w:ind w:left="720" w:hanging="720"/>
      </w:pPr>
      <w:r>
        <w:t xml:space="preserve">3.4 </w:t>
      </w:r>
      <w:r w:rsidR="00C90068">
        <w:tab/>
      </w:r>
      <w:r w:rsidR="003C0694">
        <w:t>The award criteria for</w:t>
      </w:r>
      <w:r w:rsidR="00D87155">
        <w:t xml:space="preserve"> Social Value</w:t>
      </w:r>
      <w:r w:rsidR="00E778B4">
        <w:t xml:space="preserve"> when relevant and </w:t>
      </w:r>
      <w:r w:rsidR="000C07B1">
        <w:t>proportionate</w:t>
      </w:r>
      <w:r w:rsidR="003C0694">
        <w:t xml:space="preserve"> is mandatory at 5%, but can be increased if it is felt to be  relevant and </w:t>
      </w:r>
      <w:r w:rsidR="00E778B4">
        <w:t>proportionate to the project.</w:t>
      </w:r>
      <w:r w:rsidR="003C0694">
        <w:t xml:space="preserve"> </w:t>
      </w:r>
      <w:r w:rsidR="000C07B1">
        <w:t>Supplier’s</w:t>
      </w:r>
      <w:r w:rsidR="003C0694">
        <w:t xml:space="preserve"> proposals</w:t>
      </w:r>
      <w:r w:rsidR="00D87155">
        <w:t xml:space="preserve"> </w:t>
      </w:r>
      <w:r w:rsidR="003C0694">
        <w:t>are evaluated using the scoring framework below</w:t>
      </w:r>
      <w:r w:rsidR="003C0694" w:rsidRPr="003C0694">
        <w:rPr>
          <w:rFonts w:cs="Arial"/>
          <w:iCs/>
          <w:color w:val="auto"/>
          <w:lang w:eastAsia="ar-SA"/>
        </w:rPr>
        <w:t xml:space="preserve"> </w:t>
      </w:r>
      <w:r w:rsidR="003C0694" w:rsidRPr="00AE66CB">
        <w:rPr>
          <w:rFonts w:cs="Arial"/>
          <w:iCs/>
          <w:color w:val="auto"/>
          <w:lang w:eastAsia="ar-SA"/>
        </w:rPr>
        <w:t xml:space="preserve">and the total pro-rated to give a percentage score out of the maximum percentage </w:t>
      </w:r>
      <w:r w:rsidR="003C0694">
        <w:rPr>
          <w:rFonts w:cs="Arial"/>
          <w:iCs/>
          <w:color w:val="auto"/>
          <w:lang w:eastAsia="ar-SA"/>
        </w:rPr>
        <w:t xml:space="preserve">set for Social </w:t>
      </w:r>
      <w:r w:rsidR="000C07B1">
        <w:rPr>
          <w:rFonts w:cs="Arial"/>
          <w:iCs/>
          <w:color w:val="auto"/>
          <w:lang w:eastAsia="ar-SA"/>
        </w:rPr>
        <w:t>Value</w:t>
      </w:r>
      <w:r w:rsidR="000C07B1">
        <w:t>:</w:t>
      </w:r>
    </w:p>
    <w:p w14:paraId="35704617" w14:textId="77777777" w:rsidR="00D87155" w:rsidRDefault="00D87155" w:rsidP="000206E9">
      <w:pPr>
        <w:spacing w:after="0"/>
      </w:pPr>
    </w:p>
    <w:p w14:paraId="2F3DB33A" w14:textId="77777777" w:rsidR="00D87155" w:rsidRPr="00AA68DF" w:rsidRDefault="00D87155" w:rsidP="00AA68DF">
      <w:pPr>
        <w:pStyle w:val="ListParagraph"/>
        <w:numPr>
          <w:ilvl w:val="0"/>
          <w:numId w:val="19"/>
        </w:numPr>
        <w:spacing w:after="0"/>
        <w:rPr>
          <w:color w:val="auto"/>
        </w:rPr>
      </w:pPr>
      <w:r w:rsidRPr="00AA68DF">
        <w:rPr>
          <w:color w:val="auto"/>
        </w:rPr>
        <w:t>Score of zero - Nil Response, or Proposal is so incomplete or irrelevant that it is not possible to form a judgement</w:t>
      </w:r>
    </w:p>
    <w:p w14:paraId="6D118DDC" w14:textId="77777777" w:rsidR="00D87155" w:rsidRPr="00AA68DF" w:rsidRDefault="00D87155" w:rsidP="00AA68DF">
      <w:pPr>
        <w:pStyle w:val="ListParagraph"/>
        <w:numPr>
          <w:ilvl w:val="0"/>
          <w:numId w:val="19"/>
        </w:numPr>
        <w:spacing w:after="0"/>
        <w:rPr>
          <w:color w:val="auto"/>
        </w:rPr>
      </w:pPr>
      <w:r w:rsidRPr="00AA68DF">
        <w:rPr>
          <w:color w:val="auto"/>
        </w:rPr>
        <w:t xml:space="preserve">Score of 1 - Almost unacceptable, response is limited or proposal is inadequate or substantially </w:t>
      </w:r>
      <w:r w:rsidR="0065325E" w:rsidRPr="00AA68DF">
        <w:rPr>
          <w:color w:val="auto"/>
        </w:rPr>
        <w:t>i</w:t>
      </w:r>
      <w:r w:rsidRPr="00AA68DF">
        <w:rPr>
          <w:color w:val="auto"/>
        </w:rPr>
        <w:t>rrelevant.</w:t>
      </w:r>
    </w:p>
    <w:p w14:paraId="557C304D" w14:textId="77777777" w:rsidR="00D87155" w:rsidRPr="00AA68DF" w:rsidRDefault="00D87155" w:rsidP="00AA68DF">
      <w:pPr>
        <w:pStyle w:val="ListParagraph"/>
        <w:numPr>
          <w:ilvl w:val="0"/>
          <w:numId w:val="19"/>
        </w:numPr>
        <w:spacing w:after="0"/>
        <w:rPr>
          <w:color w:val="auto"/>
        </w:rPr>
      </w:pPr>
      <w:r w:rsidRPr="00AA68DF">
        <w:rPr>
          <w:color w:val="auto"/>
        </w:rPr>
        <w:t>Score of 2 - Below expectation, proposal does not fully address the requirement and gives rise to a number of concerns about its potential reliability.</w:t>
      </w:r>
    </w:p>
    <w:p w14:paraId="1855CBB9" w14:textId="77777777" w:rsidR="00D87155" w:rsidRPr="00AA68DF" w:rsidRDefault="00D87155" w:rsidP="00AA68DF">
      <w:pPr>
        <w:pStyle w:val="ListParagraph"/>
        <w:numPr>
          <w:ilvl w:val="0"/>
          <w:numId w:val="19"/>
        </w:numPr>
        <w:spacing w:after="0"/>
        <w:rPr>
          <w:color w:val="auto"/>
        </w:rPr>
      </w:pPr>
      <w:r w:rsidRPr="00AA68DF">
        <w:rPr>
          <w:color w:val="auto"/>
        </w:rPr>
        <w:t>Score of 3 - Satisfactory, proposal generally meets requirements, gives minor reservations about meeting some of the requirements.</w:t>
      </w:r>
    </w:p>
    <w:p w14:paraId="2E753234" w14:textId="77777777" w:rsidR="00D87155" w:rsidRPr="00AA68DF" w:rsidRDefault="00D87155" w:rsidP="00AA68DF">
      <w:pPr>
        <w:pStyle w:val="ListParagraph"/>
        <w:numPr>
          <w:ilvl w:val="0"/>
          <w:numId w:val="19"/>
        </w:numPr>
        <w:spacing w:after="0"/>
        <w:rPr>
          <w:color w:val="auto"/>
        </w:rPr>
      </w:pPr>
      <w:r w:rsidRPr="00AA68DF">
        <w:rPr>
          <w:color w:val="auto"/>
        </w:rPr>
        <w:t>Score of 4 - Good, meets expectations, proposal provides detail that is directly relevant, gives confidence as to reliability to meeting all key aspects of the requirements.</w:t>
      </w:r>
    </w:p>
    <w:p w14:paraId="6113BEFE" w14:textId="77777777" w:rsidR="00D87155" w:rsidRPr="00AA68DF" w:rsidRDefault="00D87155" w:rsidP="00AA68DF">
      <w:pPr>
        <w:pStyle w:val="ListParagraph"/>
        <w:numPr>
          <w:ilvl w:val="0"/>
          <w:numId w:val="19"/>
        </w:numPr>
        <w:spacing w:after="0"/>
        <w:rPr>
          <w:color w:val="auto"/>
        </w:rPr>
      </w:pPr>
      <w:r w:rsidRPr="00AA68DF">
        <w:rPr>
          <w:color w:val="auto"/>
        </w:rPr>
        <w:t>Score of 5 - Comprehensive, proposal exceeds expectations, gives high confidence that all key aspects of the proposal may be relied upon without reservation, offers added value and innovation that is relevant to requirement.</w:t>
      </w:r>
    </w:p>
    <w:p w14:paraId="4D9308C3" w14:textId="77777777" w:rsidR="007022DA" w:rsidRPr="00AA68DF" w:rsidRDefault="007022DA" w:rsidP="000206E9">
      <w:pPr>
        <w:spacing w:after="0"/>
      </w:pPr>
    </w:p>
    <w:p w14:paraId="1CC40FA9" w14:textId="77777777" w:rsidR="000206E9" w:rsidRDefault="007022DA" w:rsidP="00C90068">
      <w:pPr>
        <w:spacing w:after="0"/>
        <w:ind w:left="720" w:hanging="720"/>
      </w:pPr>
      <w:r>
        <w:t xml:space="preserve">3.5 </w:t>
      </w:r>
      <w:r w:rsidR="00C90068">
        <w:tab/>
      </w:r>
      <w:r>
        <w:t xml:space="preserve">In 2019/20 to date out of 52 awarded contracts valued between £35,000 and over the OJEU </w:t>
      </w:r>
      <w:r w:rsidR="005A0F5E">
        <w:t>t</w:t>
      </w:r>
      <w:r>
        <w:t xml:space="preserve">hreshold of £180K, for OCC, ODSL and OCHL </w:t>
      </w:r>
      <w:r w:rsidR="005A0F5E">
        <w:t xml:space="preserve">there have been </w:t>
      </w:r>
      <w:r>
        <w:t>75 varying proposals from 33 awarded contracts</w:t>
      </w:r>
      <w:r w:rsidR="00E778B4">
        <w:t xml:space="preserve"> (19 contracts were not relevant)</w:t>
      </w:r>
      <w:r>
        <w:t xml:space="preserve"> regarding Social Value</w:t>
      </w:r>
      <w:r w:rsidR="003E05B8">
        <w:t xml:space="preserve"> and environmental benefits</w:t>
      </w:r>
      <w:r w:rsidR="005A0F5E">
        <w:t>. This information is shown for each organisation in</w:t>
      </w:r>
      <w:r w:rsidR="00CD3BF5">
        <w:t xml:space="preserve"> Appendix 2</w:t>
      </w:r>
      <w:r w:rsidR="00CE582F">
        <w:t xml:space="preserve"> </w:t>
      </w:r>
      <w:r w:rsidR="005A0F5E">
        <w:t xml:space="preserve">with a summary </w:t>
      </w:r>
      <w:r>
        <w:t xml:space="preserve">shown in </w:t>
      </w:r>
      <w:r w:rsidRPr="003103C2">
        <w:t xml:space="preserve">Table </w:t>
      </w:r>
      <w:r w:rsidR="005A0F5E">
        <w:t>2</w:t>
      </w:r>
      <w:r>
        <w:t xml:space="preserve"> below.</w:t>
      </w:r>
    </w:p>
    <w:p w14:paraId="289992AC" w14:textId="77777777" w:rsidR="005A0F5E" w:rsidRDefault="005A0F5E" w:rsidP="005A0F5E">
      <w:pPr>
        <w:spacing w:after="0"/>
        <w:ind w:left="360" w:hanging="360"/>
      </w:pPr>
    </w:p>
    <w:p w14:paraId="269CA6E1" w14:textId="77777777" w:rsidR="003E05B8" w:rsidRPr="000206E9" w:rsidRDefault="003E05B8" w:rsidP="003E05B8">
      <w:pPr>
        <w:spacing w:after="0"/>
        <w:rPr>
          <w:b/>
        </w:rPr>
      </w:pPr>
    </w:p>
    <w:tbl>
      <w:tblPr>
        <w:tblW w:w="9072" w:type="dxa"/>
        <w:tblInd w:w="103" w:type="dxa"/>
        <w:tblLook w:val="04A0" w:firstRow="1" w:lastRow="0" w:firstColumn="1" w:lastColumn="0" w:noHBand="0" w:noVBand="1"/>
      </w:tblPr>
      <w:tblGrid>
        <w:gridCol w:w="6054"/>
        <w:gridCol w:w="1150"/>
        <w:gridCol w:w="883"/>
        <w:gridCol w:w="985"/>
      </w:tblGrid>
      <w:tr w:rsidR="0021258F" w:rsidRPr="00F42DC0" w14:paraId="32DB8813" w14:textId="77777777" w:rsidTr="0021258F">
        <w:trPr>
          <w:trHeight w:val="300"/>
        </w:trPr>
        <w:tc>
          <w:tcPr>
            <w:tcW w:w="907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2BAC9C5" w14:textId="77777777" w:rsidR="0021258F" w:rsidRPr="00F42DC0" w:rsidRDefault="0021258F" w:rsidP="0021258F">
            <w:pPr>
              <w:rPr>
                <w:rFonts w:cs="Arial"/>
                <w:b/>
              </w:rPr>
            </w:pPr>
            <w:r w:rsidRPr="003103C2">
              <w:rPr>
                <w:rFonts w:cs="Arial"/>
                <w:b/>
              </w:rPr>
              <w:t xml:space="preserve">Table </w:t>
            </w:r>
            <w:r w:rsidR="005A0F5E">
              <w:rPr>
                <w:rFonts w:cs="Arial"/>
                <w:b/>
              </w:rPr>
              <w:t>2</w:t>
            </w:r>
            <w:r w:rsidRPr="003103C2">
              <w:rPr>
                <w:rFonts w:cs="Arial"/>
                <w:b/>
              </w:rPr>
              <w:t xml:space="preserve"> :</w:t>
            </w:r>
            <w:r>
              <w:rPr>
                <w:rFonts w:cs="Arial"/>
                <w:b/>
              </w:rPr>
              <w:t xml:space="preserve">  </w:t>
            </w:r>
            <w:r w:rsidR="000D01CD">
              <w:rPr>
                <w:rFonts w:cs="Arial"/>
                <w:b/>
              </w:rPr>
              <w:t>Social value submitted by suppliers</w:t>
            </w:r>
          </w:p>
        </w:tc>
      </w:tr>
      <w:tr w:rsidR="00FD3CD4" w:rsidRPr="00F42DC0" w14:paraId="5508B0D3" w14:textId="77777777" w:rsidTr="003E05B8">
        <w:trPr>
          <w:trHeight w:val="245"/>
        </w:trPr>
        <w:tc>
          <w:tcPr>
            <w:tcW w:w="6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FFDE5" w14:textId="77777777" w:rsidR="00FD3CD4" w:rsidRPr="00F42DC0" w:rsidRDefault="00FD3CD4" w:rsidP="00394B5F">
            <w:pPr>
              <w:jc w:val="center"/>
              <w:rPr>
                <w:rFonts w:cs="Arial"/>
                <w:b/>
                <w:bCs/>
              </w:rPr>
            </w:pP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BC0E7D" w14:textId="77777777" w:rsidR="00FD3CD4" w:rsidRPr="00F42DC0" w:rsidRDefault="00FD3CD4" w:rsidP="000206E9">
            <w:pPr>
              <w:jc w:val="center"/>
              <w:rPr>
                <w:rFonts w:cs="Arial"/>
                <w:b/>
              </w:rPr>
            </w:pPr>
            <w:r w:rsidRPr="00F42DC0">
              <w:rPr>
                <w:rFonts w:cs="Arial"/>
                <w:b/>
              </w:rPr>
              <w:t>OCC</w:t>
            </w:r>
          </w:p>
        </w:tc>
        <w:tc>
          <w:tcPr>
            <w:tcW w:w="8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849225" w14:textId="77777777" w:rsidR="00FD3CD4" w:rsidRPr="00F42DC0" w:rsidRDefault="00FD3CD4" w:rsidP="000206E9">
            <w:pPr>
              <w:jc w:val="center"/>
              <w:rPr>
                <w:rFonts w:cs="Arial"/>
                <w:b/>
              </w:rPr>
            </w:pPr>
            <w:r w:rsidRPr="00F42DC0">
              <w:rPr>
                <w:rFonts w:cs="Arial"/>
                <w:b/>
              </w:rPr>
              <w:t>ODSL</w:t>
            </w:r>
          </w:p>
        </w:tc>
        <w:tc>
          <w:tcPr>
            <w:tcW w:w="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E7933F" w14:textId="77777777" w:rsidR="00FD3CD4" w:rsidRPr="00F42DC0" w:rsidRDefault="00FD3CD4" w:rsidP="000206E9">
            <w:pPr>
              <w:jc w:val="center"/>
              <w:rPr>
                <w:rFonts w:cs="Arial"/>
                <w:b/>
              </w:rPr>
            </w:pPr>
            <w:r w:rsidRPr="00F42DC0">
              <w:rPr>
                <w:rFonts w:cs="Arial"/>
                <w:b/>
              </w:rPr>
              <w:t>OCHL</w:t>
            </w:r>
          </w:p>
        </w:tc>
      </w:tr>
      <w:tr w:rsidR="00FD3CD4" w:rsidRPr="00F42DC0" w14:paraId="1A8DF353" w14:textId="77777777" w:rsidTr="0021258F">
        <w:trPr>
          <w:trHeight w:val="300"/>
        </w:trPr>
        <w:tc>
          <w:tcPr>
            <w:tcW w:w="6054" w:type="dxa"/>
            <w:tcBorders>
              <w:top w:val="single" w:sz="4" w:space="0" w:color="auto"/>
              <w:left w:val="single" w:sz="4" w:space="0" w:color="auto"/>
              <w:bottom w:val="single" w:sz="4" w:space="0" w:color="auto"/>
              <w:right w:val="nil"/>
            </w:tcBorders>
            <w:shd w:val="clear" w:color="auto" w:fill="auto"/>
            <w:vAlign w:val="center"/>
            <w:hideMark/>
          </w:tcPr>
          <w:p w14:paraId="49747FCB" w14:textId="77777777" w:rsidR="00FD3CD4" w:rsidRPr="00F42DC0" w:rsidRDefault="00FD3CD4" w:rsidP="00394B5F">
            <w:pPr>
              <w:rPr>
                <w:rFonts w:cs="Arial"/>
              </w:rPr>
            </w:pPr>
            <w:r w:rsidRPr="00F42DC0">
              <w:rPr>
                <w:rFonts w:cs="Arial"/>
              </w:rPr>
              <w:t>Support mentoring, placements and apprenticeships</w:t>
            </w:r>
            <w:r>
              <w:rPr>
                <w:rFonts w:cs="Arial"/>
              </w:rPr>
              <w:t xml:space="preserve">: </w:t>
            </w:r>
            <w:r w:rsidRPr="009D548A">
              <w:rPr>
                <w:rFonts w:cs="Arial"/>
                <w:sz w:val="20"/>
              </w:rPr>
              <w:t>Offers vary from taking on an apprentice</w:t>
            </w:r>
            <w:r>
              <w:rPr>
                <w:rFonts w:cs="Arial"/>
                <w:sz w:val="20"/>
              </w:rPr>
              <w:t xml:space="preserve"> in years 2 or 4 of a contract</w:t>
            </w:r>
            <w:r w:rsidRPr="009D548A">
              <w:rPr>
                <w:rFonts w:cs="Arial"/>
                <w:sz w:val="20"/>
              </w:rPr>
              <w:t xml:space="preserve">, </w:t>
            </w:r>
            <w:r>
              <w:rPr>
                <w:rFonts w:cs="Arial"/>
                <w:sz w:val="20"/>
              </w:rPr>
              <w:t>or taking one on when the spend is over £5m, or just looking into the apprenticeship schemes</w:t>
            </w:r>
            <w:r>
              <w:rPr>
                <w:rFonts w:cs="Arial"/>
              </w:rPr>
              <w:t xml:space="preserve">/ </w:t>
            </w:r>
            <w:r w:rsidRPr="00107A08">
              <w:rPr>
                <w:rFonts w:cs="Arial"/>
                <w:sz w:val="20"/>
              </w:rPr>
              <w:t>ex</w:t>
            </w:r>
            <w:r>
              <w:rPr>
                <w:rFonts w:cs="Arial"/>
                <w:sz w:val="20"/>
              </w:rPr>
              <w:t>-</w:t>
            </w:r>
            <w:r w:rsidRPr="00107A08">
              <w:rPr>
                <w:rFonts w:cs="Arial"/>
                <w:sz w:val="20"/>
              </w:rPr>
              <w:t>military</w:t>
            </w:r>
            <w:r>
              <w:rPr>
                <w:rFonts w:cs="Arial"/>
                <w:sz w:val="20"/>
              </w:rPr>
              <w:t xml:space="preserve"> schemes</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7733A" w14:textId="77777777" w:rsidR="00FD3CD4" w:rsidRPr="00F42DC0" w:rsidRDefault="00FD3CD4" w:rsidP="000206E9">
            <w:pPr>
              <w:jc w:val="center"/>
              <w:rPr>
                <w:rFonts w:cs="Arial"/>
              </w:rPr>
            </w:pPr>
            <w:r w:rsidRPr="00F42DC0">
              <w:rPr>
                <w:rFonts w:cs="Arial"/>
              </w:rPr>
              <w:t>3</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56EC41CC" w14:textId="77777777" w:rsidR="00FD3CD4" w:rsidRPr="00F42DC0" w:rsidRDefault="00FD3CD4" w:rsidP="000206E9">
            <w:pPr>
              <w:jc w:val="center"/>
              <w:rPr>
                <w:rFonts w:cs="Arial"/>
              </w:rPr>
            </w:pPr>
            <w:r w:rsidRPr="00F42DC0">
              <w:rPr>
                <w:rFonts w:cs="Arial"/>
              </w:rPr>
              <w:t>7</w:t>
            </w:r>
          </w:p>
        </w:tc>
        <w:tc>
          <w:tcPr>
            <w:tcW w:w="985" w:type="dxa"/>
            <w:tcBorders>
              <w:top w:val="single" w:sz="4" w:space="0" w:color="auto"/>
              <w:left w:val="nil"/>
              <w:bottom w:val="single" w:sz="4" w:space="0" w:color="auto"/>
              <w:right w:val="single" w:sz="4" w:space="0" w:color="auto"/>
            </w:tcBorders>
            <w:shd w:val="clear" w:color="auto" w:fill="auto"/>
            <w:vAlign w:val="center"/>
            <w:hideMark/>
          </w:tcPr>
          <w:p w14:paraId="40A5251F" w14:textId="77777777" w:rsidR="00FD3CD4" w:rsidRPr="00F42DC0" w:rsidRDefault="00FD3CD4" w:rsidP="000206E9">
            <w:pPr>
              <w:jc w:val="center"/>
              <w:rPr>
                <w:rFonts w:cs="Arial"/>
              </w:rPr>
            </w:pPr>
            <w:r w:rsidRPr="00F42DC0">
              <w:rPr>
                <w:rFonts w:cs="Arial"/>
              </w:rPr>
              <w:t>3</w:t>
            </w:r>
          </w:p>
        </w:tc>
      </w:tr>
      <w:tr w:rsidR="00FD3CD4" w:rsidRPr="00F42DC0" w14:paraId="23EF920E" w14:textId="77777777" w:rsidTr="0021258F">
        <w:trPr>
          <w:trHeight w:val="300"/>
        </w:trPr>
        <w:tc>
          <w:tcPr>
            <w:tcW w:w="6054" w:type="dxa"/>
            <w:tcBorders>
              <w:top w:val="nil"/>
              <w:left w:val="single" w:sz="4" w:space="0" w:color="auto"/>
              <w:bottom w:val="single" w:sz="4" w:space="0" w:color="auto"/>
              <w:right w:val="nil"/>
            </w:tcBorders>
            <w:shd w:val="clear" w:color="auto" w:fill="auto"/>
            <w:vAlign w:val="center"/>
            <w:hideMark/>
          </w:tcPr>
          <w:p w14:paraId="52BC818E" w14:textId="77777777" w:rsidR="00FD3CD4" w:rsidRPr="00F42DC0" w:rsidRDefault="00FD3CD4" w:rsidP="00394B5F">
            <w:pPr>
              <w:rPr>
                <w:rFonts w:cs="Arial"/>
              </w:rPr>
            </w:pPr>
            <w:r w:rsidRPr="00F42DC0">
              <w:rPr>
                <w:rFonts w:cs="Arial"/>
              </w:rPr>
              <w:t>Recruit/support local subcontractors and SME</w:t>
            </w:r>
            <w:r>
              <w:rPr>
                <w:rFonts w:cs="Arial"/>
              </w:rPr>
              <w:t xml:space="preserve">                </w:t>
            </w:r>
            <w:r w:rsidRPr="009D548A">
              <w:rPr>
                <w:rFonts w:cs="Arial"/>
                <w:sz w:val="20"/>
              </w:rPr>
              <w:t>Offers vary from using local suppliers</w:t>
            </w:r>
            <w:r>
              <w:rPr>
                <w:rFonts w:cs="Arial"/>
                <w:sz w:val="20"/>
              </w:rPr>
              <w:t xml:space="preserve"> as sub-contractors, spending locally for supplies, support local employment, sub-contract 80% to SMEs</w:t>
            </w:r>
          </w:p>
        </w:tc>
        <w:tc>
          <w:tcPr>
            <w:tcW w:w="1150" w:type="dxa"/>
            <w:tcBorders>
              <w:top w:val="nil"/>
              <w:left w:val="single" w:sz="4" w:space="0" w:color="auto"/>
              <w:bottom w:val="single" w:sz="4" w:space="0" w:color="auto"/>
              <w:right w:val="single" w:sz="4" w:space="0" w:color="auto"/>
            </w:tcBorders>
            <w:shd w:val="clear" w:color="auto" w:fill="auto"/>
            <w:vAlign w:val="center"/>
            <w:hideMark/>
          </w:tcPr>
          <w:p w14:paraId="24C30C97" w14:textId="77777777" w:rsidR="00FD3CD4" w:rsidRPr="00F42DC0" w:rsidRDefault="00FD3CD4" w:rsidP="000206E9">
            <w:pPr>
              <w:jc w:val="center"/>
              <w:rPr>
                <w:rFonts w:cs="Arial"/>
              </w:rPr>
            </w:pPr>
            <w:r w:rsidRPr="00F42DC0">
              <w:rPr>
                <w:rFonts w:cs="Arial"/>
              </w:rPr>
              <w:t>1</w:t>
            </w:r>
          </w:p>
        </w:tc>
        <w:tc>
          <w:tcPr>
            <w:tcW w:w="883" w:type="dxa"/>
            <w:tcBorders>
              <w:top w:val="nil"/>
              <w:left w:val="nil"/>
              <w:bottom w:val="single" w:sz="4" w:space="0" w:color="auto"/>
              <w:right w:val="single" w:sz="4" w:space="0" w:color="auto"/>
            </w:tcBorders>
            <w:shd w:val="clear" w:color="auto" w:fill="auto"/>
            <w:vAlign w:val="center"/>
            <w:hideMark/>
          </w:tcPr>
          <w:p w14:paraId="69C6B4D3" w14:textId="77777777" w:rsidR="00FD3CD4" w:rsidRPr="00F42DC0" w:rsidRDefault="00FD3CD4" w:rsidP="000206E9">
            <w:pPr>
              <w:jc w:val="center"/>
              <w:rPr>
                <w:rFonts w:cs="Arial"/>
              </w:rPr>
            </w:pPr>
            <w:r w:rsidRPr="00F42DC0">
              <w:rPr>
                <w:rFonts w:cs="Arial"/>
              </w:rPr>
              <w:t>6</w:t>
            </w:r>
          </w:p>
        </w:tc>
        <w:tc>
          <w:tcPr>
            <w:tcW w:w="985" w:type="dxa"/>
            <w:tcBorders>
              <w:top w:val="nil"/>
              <w:left w:val="nil"/>
              <w:bottom w:val="single" w:sz="4" w:space="0" w:color="auto"/>
              <w:right w:val="single" w:sz="4" w:space="0" w:color="auto"/>
            </w:tcBorders>
            <w:shd w:val="clear" w:color="auto" w:fill="auto"/>
            <w:vAlign w:val="center"/>
            <w:hideMark/>
          </w:tcPr>
          <w:p w14:paraId="0713F6CC" w14:textId="77777777" w:rsidR="00FD3CD4" w:rsidRPr="00F42DC0" w:rsidRDefault="00FD3CD4" w:rsidP="000206E9">
            <w:pPr>
              <w:jc w:val="center"/>
              <w:rPr>
                <w:rFonts w:cs="Arial"/>
              </w:rPr>
            </w:pPr>
            <w:r w:rsidRPr="00F42DC0">
              <w:rPr>
                <w:rFonts w:cs="Arial"/>
              </w:rPr>
              <w:t>3</w:t>
            </w:r>
          </w:p>
        </w:tc>
      </w:tr>
      <w:tr w:rsidR="00FD3CD4" w:rsidRPr="00F42DC0" w14:paraId="671A3DC0" w14:textId="77777777" w:rsidTr="0021258F">
        <w:trPr>
          <w:trHeight w:val="480"/>
        </w:trPr>
        <w:tc>
          <w:tcPr>
            <w:tcW w:w="6054" w:type="dxa"/>
            <w:tcBorders>
              <w:top w:val="nil"/>
              <w:left w:val="single" w:sz="4" w:space="0" w:color="auto"/>
              <w:bottom w:val="single" w:sz="4" w:space="0" w:color="auto"/>
              <w:right w:val="nil"/>
            </w:tcBorders>
            <w:shd w:val="clear" w:color="auto" w:fill="auto"/>
            <w:vAlign w:val="center"/>
            <w:hideMark/>
          </w:tcPr>
          <w:p w14:paraId="38C2E16D" w14:textId="77777777" w:rsidR="00FD3CD4" w:rsidRDefault="00FD3CD4" w:rsidP="00394B5F">
            <w:pPr>
              <w:rPr>
                <w:rFonts w:cs="Arial"/>
              </w:rPr>
            </w:pPr>
            <w:r w:rsidRPr="00F42DC0">
              <w:rPr>
                <w:rFonts w:cs="Arial"/>
              </w:rPr>
              <w:t>Support a charity donation</w:t>
            </w:r>
          </w:p>
          <w:p w14:paraId="274EF13C" w14:textId="77777777" w:rsidR="00FD3CD4" w:rsidRPr="00F42DC0" w:rsidRDefault="00FD3CD4" w:rsidP="00394B5F">
            <w:pPr>
              <w:rPr>
                <w:rFonts w:cs="Arial"/>
              </w:rPr>
            </w:pPr>
            <w:r w:rsidRPr="009D548A">
              <w:rPr>
                <w:rFonts w:cs="Arial"/>
                <w:sz w:val="20"/>
              </w:rPr>
              <w:t>Offers vary from</w:t>
            </w:r>
            <w:r>
              <w:rPr>
                <w:rFonts w:cs="Arial"/>
                <w:sz w:val="20"/>
              </w:rPr>
              <w:t xml:space="preserve"> charitable contributions, donations to community funds, donations to Oxford based charity, Oxford office to raise money for local hospice</w:t>
            </w:r>
          </w:p>
        </w:tc>
        <w:tc>
          <w:tcPr>
            <w:tcW w:w="1150" w:type="dxa"/>
            <w:tcBorders>
              <w:top w:val="nil"/>
              <w:left w:val="single" w:sz="4" w:space="0" w:color="auto"/>
              <w:bottom w:val="single" w:sz="4" w:space="0" w:color="auto"/>
              <w:right w:val="single" w:sz="4" w:space="0" w:color="auto"/>
            </w:tcBorders>
            <w:shd w:val="clear" w:color="auto" w:fill="auto"/>
            <w:vAlign w:val="center"/>
            <w:hideMark/>
          </w:tcPr>
          <w:p w14:paraId="1A894E16" w14:textId="77777777" w:rsidR="00FD3CD4" w:rsidRPr="00F42DC0" w:rsidRDefault="00FD3CD4" w:rsidP="000206E9">
            <w:pPr>
              <w:jc w:val="center"/>
              <w:rPr>
                <w:rFonts w:cs="Arial"/>
              </w:rPr>
            </w:pPr>
            <w:r w:rsidRPr="00F42DC0">
              <w:rPr>
                <w:rFonts w:cs="Arial"/>
              </w:rPr>
              <w:t>0</w:t>
            </w:r>
          </w:p>
        </w:tc>
        <w:tc>
          <w:tcPr>
            <w:tcW w:w="883" w:type="dxa"/>
            <w:tcBorders>
              <w:top w:val="nil"/>
              <w:left w:val="nil"/>
              <w:bottom w:val="single" w:sz="4" w:space="0" w:color="auto"/>
              <w:right w:val="single" w:sz="4" w:space="0" w:color="auto"/>
            </w:tcBorders>
            <w:shd w:val="clear" w:color="auto" w:fill="auto"/>
            <w:vAlign w:val="center"/>
            <w:hideMark/>
          </w:tcPr>
          <w:p w14:paraId="208559D1" w14:textId="77777777" w:rsidR="00FD3CD4" w:rsidRPr="00F42DC0" w:rsidRDefault="00FD3CD4" w:rsidP="000206E9">
            <w:pPr>
              <w:jc w:val="center"/>
              <w:rPr>
                <w:rFonts w:cs="Arial"/>
              </w:rPr>
            </w:pPr>
            <w:r w:rsidRPr="00F42DC0">
              <w:rPr>
                <w:rFonts w:cs="Arial"/>
              </w:rPr>
              <w:t>7</w:t>
            </w:r>
          </w:p>
        </w:tc>
        <w:tc>
          <w:tcPr>
            <w:tcW w:w="985" w:type="dxa"/>
            <w:tcBorders>
              <w:top w:val="nil"/>
              <w:left w:val="nil"/>
              <w:bottom w:val="single" w:sz="4" w:space="0" w:color="auto"/>
              <w:right w:val="single" w:sz="4" w:space="0" w:color="auto"/>
            </w:tcBorders>
            <w:shd w:val="clear" w:color="auto" w:fill="auto"/>
            <w:vAlign w:val="center"/>
            <w:hideMark/>
          </w:tcPr>
          <w:p w14:paraId="36D366C4" w14:textId="77777777" w:rsidR="00FD3CD4" w:rsidRPr="00F42DC0" w:rsidRDefault="00FD3CD4" w:rsidP="000206E9">
            <w:pPr>
              <w:jc w:val="center"/>
              <w:rPr>
                <w:rFonts w:cs="Arial"/>
              </w:rPr>
            </w:pPr>
            <w:r w:rsidRPr="00F42DC0">
              <w:rPr>
                <w:rFonts w:cs="Arial"/>
              </w:rPr>
              <w:t>0</w:t>
            </w:r>
          </w:p>
        </w:tc>
      </w:tr>
      <w:tr w:rsidR="00FD3CD4" w:rsidRPr="00F42DC0" w14:paraId="17598F43" w14:textId="77777777" w:rsidTr="0021258F">
        <w:trPr>
          <w:trHeight w:val="600"/>
        </w:trPr>
        <w:tc>
          <w:tcPr>
            <w:tcW w:w="6054" w:type="dxa"/>
            <w:tcBorders>
              <w:top w:val="nil"/>
              <w:left w:val="single" w:sz="4" w:space="0" w:color="auto"/>
              <w:bottom w:val="single" w:sz="4" w:space="0" w:color="auto"/>
              <w:right w:val="nil"/>
            </w:tcBorders>
            <w:shd w:val="clear" w:color="auto" w:fill="auto"/>
            <w:vAlign w:val="center"/>
            <w:hideMark/>
          </w:tcPr>
          <w:p w14:paraId="74BFD2B4" w14:textId="77777777" w:rsidR="00FD3CD4" w:rsidRDefault="00FD3CD4" w:rsidP="00394B5F">
            <w:pPr>
              <w:rPr>
                <w:rFonts w:cs="Arial"/>
              </w:rPr>
            </w:pPr>
            <w:r w:rsidRPr="00F42DC0">
              <w:rPr>
                <w:rFonts w:cs="Arial"/>
              </w:rPr>
              <w:t>Support/provide time to volunteer for community work/engagement</w:t>
            </w:r>
          </w:p>
          <w:p w14:paraId="7E032911" w14:textId="77777777" w:rsidR="00FD3CD4" w:rsidRPr="00F42DC0" w:rsidRDefault="00FD3CD4" w:rsidP="00394B5F">
            <w:pPr>
              <w:rPr>
                <w:rFonts w:cs="Arial"/>
              </w:rPr>
            </w:pPr>
            <w:r w:rsidRPr="009D548A">
              <w:rPr>
                <w:rFonts w:cs="Arial"/>
                <w:sz w:val="20"/>
              </w:rPr>
              <w:t>Offers vary from</w:t>
            </w:r>
            <w:r>
              <w:rPr>
                <w:rFonts w:cs="Arial"/>
                <w:sz w:val="20"/>
              </w:rPr>
              <w:t xml:space="preserve"> providing 1 staff a day to help at a community or voluntary group, provide 1 day voluntary work, 1 hour per week community engagement</w:t>
            </w:r>
          </w:p>
        </w:tc>
        <w:tc>
          <w:tcPr>
            <w:tcW w:w="1150" w:type="dxa"/>
            <w:tcBorders>
              <w:top w:val="nil"/>
              <w:left w:val="single" w:sz="4" w:space="0" w:color="auto"/>
              <w:bottom w:val="single" w:sz="4" w:space="0" w:color="auto"/>
              <w:right w:val="single" w:sz="4" w:space="0" w:color="auto"/>
            </w:tcBorders>
            <w:shd w:val="clear" w:color="auto" w:fill="auto"/>
            <w:vAlign w:val="center"/>
            <w:hideMark/>
          </w:tcPr>
          <w:p w14:paraId="5A4B5DBF" w14:textId="77777777" w:rsidR="00FD3CD4" w:rsidRPr="00F42DC0" w:rsidRDefault="00FD3CD4" w:rsidP="000206E9">
            <w:pPr>
              <w:jc w:val="center"/>
              <w:rPr>
                <w:rFonts w:cs="Arial"/>
              </w:rPr>
            </w:pPr>
            <w:r w:rsidRPr="00F42DC0">
              <w:rPr>
                <w:rFonts w:cs="Arial"/>
              </w:rPr>
              <w:t>0</w:t>
            </w:r>
          </w:p>
        </w:tc>
        <w:tc>
          <w:tcPr>
            <w:tcW w:w="883" w:type="dxa"/>
            <w:tcBorders>
              <w:top w:val="nil"/>
              <w:left w:val="nil"/>
              <w:bottom w:val="single" w:sz="4" w:space="0" w:color="auto"/>
              <w:right w:val="single" w:sz="4" w:space="0" w:color="auto"/>
            </w:tcBorders>
            <w:shd w:val="clear" w:color="auto" w:fill="auto"/>
            <w:vAlign w:val="center"/>
            <w:hideMark/>
          </w:tcPr>
          <w:p w14:paraId="185849DF" w14:textId="77777777" w:rsidR="00FD3CD4" w:rsidRPr="00F42DC0" w:rsidRDefault="00FD3CD4" w:rsidP="000206E9">
            <w:pPr>
              <w:jc w:val="center"/>
              <w:rPr>
                <w:rFonts w:cs="Arial"/>
              </w:rPr>
            </w:pPr>
            <w:r w:rsidRPr="00F42DC0">
              <w:rPr>
                <w:rFonts w:cs="Arial"/>
              </w:rPr>
              <w:t>5</w:t>
            </w:r>
          </w:p>
        </w:tc>
        <w:tc>
          <w:tcPr>
            <w:tcW w:w="985" w:type="dxa"/>
            <w:tcBorders>
              <w:top w:val="nil"/>
              <w:left w:val="nil"/>
              <w:bottom w:val="single" w:sz="4" w:space="0" w:color="auto"/>
              <w:right w:val="single" w:sz="4" w:space="0" w:color="auto"/>
            </w:tcBorders>
            <w:shd w:val="clear" w:color="auto" w:fill="auto"/>
            <w:vAlign w:val="center"/>
            <w:hideMark/>
          </w:tcPr>
          <w:p w14:paraId="0E16AF8E" w14:textId="77777777" w:rsidR="00FD3CD4" w:rsidRPr="00F42DC0" w:rsidRDefault="00FD3CD4" w:rsidP="000206E9">
            <w:pPr>
              <w:jc w:val="center"/>
              <w:rPr>
                <w:rFonts w:cs="Arial"/>
              </w:rPr>
            </w:pPr>
            <w:r w:rsidRPr="00F42DC0">
              <w:rPr>
                <w:rFonts w:cs="Arial"/>
              </w:rPr>
              <w:t>3</w:t>
            </w:r>
          </w:p>
        </w:tc>
      </w:tr>
      <w:tr w:rsidR="00FD3CD4" w:rsidRPr="00F42DC0" w14:paraId="769AEA6D" w14:textId="77777777" w:rsidTr="0021258F">
        <w:trPr>
          <w:trHeight w:val="300"/>
        </w:trPr>
        <w:tc>
          <w:tcPr>
            <w:tcW w:w="6054" w:type="dxa"/>
            <w:tcBorders>
              <w:top w:val="nil"/>
              <w:left w:val="single" w:sz="4" w:space="0" w:color="auto"/>
              <w:bottom w:val="single" w:sz="4" w:space="0" w:color="auto"/>
              <w:right w:val="nil"/>
            </w:tcBorders>
            <w:shd w:val="clear" w:color="auto" w:fill="auto"/>
            <w:vAlign w:val="center"/>
            <w:hideMark/>
          </w:tcPr>
          <w:p w14:paraId="61D9CB6A" w14:textId="77777777" w:rsidR="00FD3CD4" w:rsidRDefault="00FD3CD4" w:rsidP="00394B5F">
            <w:pPr>
              <w:rPr>
                <w:rFonts w:cs="Arial"/>
              </w:rPr>
            </w:pPr>
            <w:r w:rsidRPr="00F42DC0">
              <w:rPr>
                <w:rFonts w:cs="Arial"/>
              </w:rPr>
              <w:t>General response in line with our corporate priorities.</w:t>
            </w:r>
          </w:p>
          <w:p w14:paraId="7B5D85AF" w14:textId="77777777" w:rsidR="00FD3CD4" w:rsidRPr="00F42DC0" w:rsidRDefault="00FD3CD4" w:rsidP="00394B5F">
            <w:pPr>
              <w:rPr>
                <w:rFonts w:cs="Arial"/>
                <w:sz w:val="20"/>
              </w:rPr>
            </w:pPr>
            <w:r w:rsidRPr="00107A08">
              <w:rPr>
                <w:rFonts w:cs="Arial"/>
                <w:sz w:val="20"/>
              </w:rPr>
              <w:t>Some responses just agreed with our objectives/principles with no specific benefits</w:t>
            </w:r>
          </w:p>
        </w:tc>
        <w:tc>
          <w:tcPr>
            <w:tcW w:w="1150" w:type="dxa"/>
            <w:tcBorders>
              <w:top w:val="nil"/>
              <w:left w:val="single" w:sz="4" w:space="0" w:color="auto"/>
              <w:bottom w:val="single" w:sz="4" w:space="0" w:color="auto"/>
              <w:right w:val="single" w:sz="4" w:space="0" w:color="auto"/>
            </w:tcBorders>
            <w:shd w:val="clear" w:color="auto" w:fill="auto"/>
            <w:vAlign w:val="center"/>
            <w:hideMark/>
          </w:tcPr>
          <w:p w14:paraId="4DDE8528" w14:textId="77777777" w:rsidR="00FD3CD4" w:rsidRPr="00F42DC0" w:rsidRDefault="00FD3CD4" w:rsidP="000206E9">
            <w:pPr>
              <w:jc w:val="center"/>
              <w:rPr>
                <w:rFonts w:cs="Arial"/>
              </w:rPr>
            </w:pPr>
            <w:r w:rsidRPr="00F42DC0">
              <w:rPr>
                <w:rFonts w:cs="Arial"/>
              </w:rPr>
              <w:t>6</w:t>
            </w:r>
          </w:p>
        </w:tc>
        <w:tc>
          <w:tcPr>
            <w:tcW w:w="883" w:type="dxa"/>
            <w:tcBorders>
              <w:top w:val="nil"/>
              <w:left w:val="nil"/>
              <w:bottom w:val="single" w:sz="4" w:space="0" w:color="auto"/>
              <w:right w:val="single" w:sz="4" w:space="0" w:color="auto"/>
            </w:tcBorders>
            <w:shd w:val="clear" w:color="auto" w:fill="auto"/>
            <w:vAlign w:val="center"/>
            <w:hideMark/>
          </w:tcPr>
          <w:p w14:paraId="6CA72FA9" w14:textId="77777777" w:rsidR="00FD3CD4" w:rsidRPr="00F42DC0" w:rsidRDefault="00FD3CD4" w:rsidP="000206E9">
            <w:pPr>
              <w:jc w:val="center"/>
              <w:rPr>
                <w:rFonts w:cs="Arial"/>
              </w:rPr>
            </w:pPr>
            <w:r w:rsidRPr="00F42DC0">
              <w:rPr>
                <w:rFonts w:cs="Arial"/>
              </w:rPr>
              <w:t>0</w:t>
            </w:r>
          </w:p>
        </w:tc>
        <w:tc>
          <w:tcPr>
            <w:tcW w:w="985" w:type="dxa"/>
            <w:tcBorders>
              <w:top w:val="nil"/>
              <w:left w:val="nil"/>
              <w:bottom w:val="single" w:sz="4" w:space="0" w:color="auto"/>
              <w:right w:val="single" w:sz="4" w:space="0" w:color="auto"/>
            </w:tcBorders>
            <w:shd w:val="clear" w:color="auto" w:fill="auto"/>
            <w:vAlign w:val="center"/>
            <w:hideMark/>
          </w:tcPr>
          <w:p w14:paraId="64DC6851" w14:textId="77777777" w:rsidR="00FD3CD4" w:rsidRPr="00F42DC0" w:rsidRDefault="00FD3CD4" w:rsidP="000206E9">
            <w:pPr>
              <w:jc w:val="center"/>
              <w:rPr>
                <w:rFonts w:cs="Arial"/>
              </w:rPr>
            </w:pPr>
            <w:r w:rsidRPr="00F42DC0">
              <w:rPr>
                <w:rFonts w:cs="Arial"/>
              </w:rPr>
              <w:t>0</w:t>
            </w:r>
          </w:p>
        </w:tc>
      </w:tr>
      <w:tr w:rsidR="00FD3CD4" w:rsidRPr="00F42DC0" w14:paraId="3301873C" w14:textId="77777777" w:rsidTr="0021258F">
        <w:trPr>
          <w:trHeight w:val="600"/>
        </w:trPr>
        <w:tc>
          <w:tcPr>
            <w:tcW w:w="6054" w:type="dxa"/>
            <w:tcBorders>
              <w:top w:val="nil"/>
              <w:left w:val="single" w:sz="4" w:space="0" w:color="auto"/>
              <w:bottom w:val="single" w:sz="4" w:space="0" w:color="auto"/>
              <w:right w:val="nil"/>
            </w:tcBorders>
            <w:shd w:val="clear" w:color="auto" w:fill="auto"/>
            <w:vAlign w:val="center"/>
            <w:hideMark/>
          </w:tcPr>
          <w:p w14:paraId="3020533B" w14:textId="77777777" w:rsidR="00FD3CD4" w:rsidRDefault="00FD3CD4" w:rsidP="00394B5F">
            <w:pPr>
              <w:rPr>
                <w:rFonts w:cs="Arial"/>
              </w:rPr>
            </w:pPr>
            <w:r w:rsidRPr="00F42DC0">
              <w:rPr>
                <w:rFonts w:cs="Arial"/>
              </w:rPr>
              <w:t>Contribute to the delivery of Oxford’s Zero Emission Zone</w:t>
            </w:r>
          </w:p>
          <w:p w14:paraId="6325CD2E" w14:textId="77777777" w:rsidR="00FD3CD4" w:rsidRPr="00F42DC0" w:rsidRDefault="00FD3CD4" w:rsidP="00394B5F">
            <w:pPr>
              <w:rPr>
                <w:rFonts w:cs="Arial"/>
                <w:sz w:val="20"/>
              </w:rPr>
            </w:pPr>
            <w:r w:rsidRPr="00107A08">
              <w:rPr>
                <w:rFonts w:cs="Arial"/>
                <w:sz w:val="20"/>
              </w:rPr>
              <w:t>Proposals around supporting a reduction in emissions</w:t>
            </w:r>
            <w:r w:rsidRPr="00F42DC0">
              <w:rPr>
                <w:rFonts w:cs="Arial"/>
                <w:sz w:val="20"/>
              </w:rPr>
              <w:t xml:space="preserve"> </w:t>
            </w:r>
          </w:p>
        </w:tc>
        <w:tc>
          <w:tcPr>
            <w:tcW w:w="1150" w:type="dxa"/>
            <w:tcBorders>
              <w:top w:val="nil"/>
              <w:left w:val="single" w:sz="4" w:space="0" w:color="auto"/>
              <w:bottom w:val="single" w:sz="4" w:space="0" w:color="auto"/>
              <w:right w:val="single" w:sz="4" w:space="0" w:color="auto"/>
            </w:tcBorders>
            <w:shd w:val="clear" w:color="auto" w:fill="auto"/>
            <w:vAlign w:val="center"/>
            <w:hideMark/>
          </w:tcPr>
          <w:p w14:paraId="3C3D5A3E" w14:textId="77777777" w:rsidR="00FD3CD4" w:rsidRPr="00F42DC0" w:rsidRDefault="00FD3CD4" w:rsidP="000206E9">
            <w:pPr>
              <w:jc w:val="center"/>
              <w:rPr>
                <w:rFonts w:cs="Arial"/>
              </w:rPr>
            </w:pPr>
            <w:r>
              <w:rPr>
                <w:rFonts w:cs="Arial"/>
              </w:rPr>
              <w:t>7</w:t>
            </w:r>
          </w:p>
        </w:tc>
        <w:tc>
          <w:tcPr>
            <w:tcW w:w="883" w:type="dxa"/>
            <w:tcBorders>
              <w:top w:val="nil"/>
              <w:left w:val="nil"/>
              <w:bottom w:val="single" w:sz="4" w:space="0" w:color="auto"/>
              <w:right w:val="single" w:sz="4" w:space="0" w:color="auto"/>
            </w:tcBorders>
            <w:shd w:val="clear" w:color="auto" w:fill="auto"/>
            <w:vAlign w:val="center"/>
            <w:hideMark/>
          </w:tcPr>
          <w:p w14:paraId="18BBD205" w14:textId="77777777" w:rsidR="00FD3CD4" w:rsidRPr="00F42DC0" w:rsidRDefault="00FD3CD4" w:rsidP="000206E9">
            <w:pPr>
              <w:jc w:val="center"/>
              <w:rPr>
                <w:rFonts w:cs="Arial"/>
              </w:rPr>
            </w:pPr>
            <w:r>
              <w:rPr>
                <w:rFonts w:cs="Arial"/>
              </w:rPr>
              <w:t>1</w:t>
            </w:r>
          </w:p>
        </w:tc>
        <w:tc>
          <w:tcPr>
            <w:tcW w:w="985" w:type="dxa"/>
            <w:tcBorders>
              <w:top w:val="nil"/>
              <w:left w:val="nil"/>
              <w:bottom w:val="single" w:sz="4" w:space="0" w:color="auto"/>
              <w:right w:val="single" w:sz="4" w:space="0" w:color="auto"/>
            </w:tcBorders>
            <w:shd w:val="clear" w:color="auto" w:fill="auto"/>
            <w:vAlign w:val="center"/>
            <w:hideMark/>
          </w:tcPr>
          <w:p w14:paraId="7874C6F4" w14:textId="77777777" w:rsidR="00FD3CD4" w:rsidRPr="00F42DC0" w:rsidRDefault="00FD3CD4" w:rsidP="000206E9">
            <w:pPr>
              <w:jc w:val="center"/>
              <w:rPr>
                <w:rFonts w:cs="Arial"/>
              </w:rPr>
            </w:pPr>
            <w:r w:rsidRPr="00F42DC0">
              <w:rPr>
                <w:rFonts w:cs="Arial"/>
              </w:rPr>
              <w:t>0</w:t>
            </w:r>
          </w:p>
        </w:tc>
      </w:tr>
      <w:tr w:rsidR="00FD3CD4" w:rsidRPr="00F42DC0" w14:paraId="05BA3F8D" w14:textId="77777777" w:rsidTr="0021258F">
        <w:trPr>
          <w:trHeight w:val="300"/>
        </w:trPr>
        <w:tc>
          <w:tcPr>
            <w:tcW w:w="6054" w:type="dxa"/>
            <w:tcBorders>
              <w:top w:val="nil"/>
              <w:left w:val="single" w:sz="4" w:space="0" w:color="auto"/>
              <w:bottom w:val="single" w:sz="4" w:space="0" w:color="auto"/>
              <w:right w:val="nil"/>
            </w:tcBorders>
            <w:shd w:val="clear" w:color="auto" w:fill="auto"/>
            <w:vAlign w:val="center"/>
            <w:hideMark/>
          </w:tcPr>
          <w:p w14:paraId="5CADE7BB" w14:textId="77777777" w:rsidR="00FD3CD4" w:rsidRDefault="00FD3CD4" w:rsidP="00394B5F">
            <w:pPr>
              <w:rPr>
                <w:rFonts w:cs="Arial"/>
              </w:rPr>
            </w:pPr>
            <w:r w:rsidRPr="00F42DC0">
              <w:rPr>
                <w:rFonts w:cs="Arial"/>
              </w:rPr>
              <w:t>Support Oxford Living wage</w:t>
            </w:r>
          </w:p>
          <w:p w14:paraId="169FD018" w14:textId="77777777" w:rsidR="00FD3CD4" w:rsidRPr="00F42DC0" w:rsidRDefault="00FD3CD4" w:rsidP="003C0694">
            <w:pPr>
              <w:rPr>
                <w:rFonts w:cs="Arial"/>
                <w:sz w:val="20"/>
              </w:rPr>
            </w:pPr>
            <w:r w:rsidRPr="00A66663">
              <w:rPr>
                <w:rFonts w:cs="Arial"/>
                <w:sz w:val="20"/>
              </w:rPr>
              <w:t>Only 3 tender proposals</w:t>
            </w:r>
            <w:r w:rsidR="003C0694" w:rsidRPr="00A66663">
              <w:rPr>
                <w:rFonts w:cs="Arial"/>
                <w:sz w:val="20"/>
              </w:rPr>
              <w:t xml:space="preserve"> included in SV submissions but all suppliers sign up to Terms and Conditions that state </w:t>
            </w:r>
            <w:r w:rsidR="00CF21C0" w:rsidRPr="00A66663">
              <w:rPr>
                <w:rFonts w:cs="Arial"/>
                <w:sz w:val="20"/>
              </w:rPr>
              <w:t xml:space="preserve">that </w:t>
            </w:r>
            <w:r w:rsidR="003C0694" w:rsidRPr="00A66663">
              <w:rPr>
                <w:rFonts w:cs="Arial"/>
                <w:sz w:val="20"/>
              </w:rPr>
              <w:t>supplier/sub-contractor shall make all reasonable endeavours to e</w:t>
            </w:r>
            <w:r w:rsidR="00CF21C0" w:rsidRPr="00A66663">
              <w:rPr>
                <w:rFonts w:cs="Arial"/>
                <w:sz w:val="20"/>
              </w:rPr>
              <w:t>nsure they comply with the “living wage”</w:t>
            </w:r>
          </w:p>
        </w:tc>
        <w:tc>
          <w:tcPr>
            <w:tcW w:w="1150" w:type="dxa"/>
            <w:tcBorders>
              <w:top w:val="nil"/>
              <w:left w:val="single" w:sz="4" w:space="0" w:color="auto"/>
              <w:bottom w:val="single" w:sz="4" w:space="0" w:color="auto"/>
              <w:right w:val="single" w:sz="4" w:space="0" w:color="auto"/>
            </w:tcBorders>
            <w:shd w:val="clear" w:color="auto" w:fill="auto"/>
            <w:vAlign w:val="center"/>
            <w:hideMark/>
          </w:tcPr>
          <w:p w14:paraId="0BFEF66C" w14:textId="77777777" w:rsidR="00FD3CD4" w:rsidRPr="00F42DC0" w:rsidRDefault="00FD3CD4" w:rsidP="000206E9">
            <w:pPr>
              <w:jc w:val="center"/>
              <w:rPr>
                <w:rFonts w:cs="Arial"/>
              </w:rPr>
            </w:pPr>
            <w:r w:rsidRPr="00F42DC0">
              <w:rPr>
                <w:rFonts w:cs="Arial"/>
              </w:rPr>
              <w:t>0</w:t>
            </w:r>
          </w:p>
        </w:tc>
        <w:tc>
          <w:tcPr>
            <w:tcW w:w="883" w:type="dxa"/>
            <w:tcBorders>
              <w:top w:val="nil"/>
              <w:left w:val="nil"/>
              <w:bottom w:val="single" w:sz="4" w:space="0" w:color="auto"/>
              <w:right w:val="single" w:sz="4" w:space="0" w:color="auto"/>
            </w:tcBorders>
            <w:shd w:val="clear" w:color="auto" w:fill="auto"/>
            <w:vAlign w:val="center"/>
            <w:hideMark/>
          </w:tcPr>
          <w:p w14:paraId="4F404E92" w14:textId="77777777" w:rsidR="00FD3CD4" w:rsidRPr="00F42DC0" w:rsidRDefault="00FD3CD4" w:rsidP="000206E9">
            <w:pPr>
              <w:jc w:val="center"/>
              <w:rPr>
                <w:rFonts w:cs="Arial"/>
              </w:rPr>
            </w:pPr>
            <w:r w:rsidRPr="00F42DC0">
              <w:rPr>
                <w:rFonts w:cs="Arial"/>
              </w:rPr>
              <w:t>0</w:t>
            </w:r>
          </w:p>
        </w:tc>
        <w:tc>
          <w:tcPr>
            <w:tcW w:w="985" w:type="dxa"/>
            <w:tcBorders>
              <w:top w:val="nil"/>
              <w:left w:val="nil"/>
              <w:bottom w:val="single" w:sz="4" w:space="0" w:color="auto"/>
              <w:right w:val="single" w:sz="4" w:space="0" w:color="auto"/>
            </w:tcBorders>
            <w:shd w:val="clear" w:color="auto" w:fill="auto"/>
            <w:vAlign w:val="center"/>
            <w:hideMark/>
          </w:tcPr>
          <w:p w14:paraId="71131FDC" w14:textId="77777777" w:rsidR="00FD3CD4" w:rsidRPr="00F42DC0" w:rsidRDefault="00FD3CD4" w:rsidP="000206E9">
            <w:pPr>
              <w:jc w:val="center"/>
              <w:rPr>
                <w:rFonts w:cs="Arial"/>
              </w:rPr>
            </w:pPr>
            <w:r w:rsidRPr="00F42DC0">
              <w:rPr>
                <w:rFonts w:cs="Arial"/>
              </w:rPr>
              <w:t>3</w:t>
            </w:r>
          </w:p>
        </w:tc>
      </w:tr>
      <w:tr w:rsidR="00FD3CD4" w:rsidRPr="00F42DC0" w14:paraId="7AC62BB7" w14:textId="77777777" w:rsidTr="0021258F">
        <w:trPr>
          <w:trHeight w:val="300"/>
        </w:trPr>
        <w:tc>
          <w:tcPr>
            <w:tcW w:w="6054" w:type="dxa"/>
            <w:tcBorders>
              <w:top w:val="nil"/>
              <w:left w:val="single" w:sz="4" w:space="0" w:color="auto"/>
              <w:bottom w:val="single" w:sz="4" w:space="0" w:color="auto"/>
              <w:right w:val="nil"/>
            </w:tcBorders>
            <w:shd w:val="clear" w:color="auto" w:fill="auto"/>
            <w:vAlign w:val="center"/>
            <w:hideMark/>
          </w:tcPr>
          <w:p w14:paraId="5524A4D1" w14:textId="77777777" w:rsidR="00FD3CD4" w:rsidRPr="00F42DC0" w:rsidRDefault="00FD3CD4" w:rsidP="00394B5F">
            <w:pPr>
              <w:rPr>
                <w:rFonts w:cs="Arial"/>
              </w:rPr>
            </w:pPr>
            <w:r w:rsidRPr="00F42DC0">
              <w:rPr>
                <w:rFonts w:cs="Arial"/>
              </w:rPr>
              <w:t>Provide H&amp;S cost advice/awareness training</w:t>
            </w:r>
          </w:p>
        </w:tc>
        <w:tc>
          <w:tcPr>
            <w:tcW w:w="1150" w:type="dxa"/>
            <w:tcBorders>
              <w:top w:val="nil"/>
              <w:left w:val="single" w:sz="4" w:space="0" w:color="auto"/>
              <w:bottom w:val="single" w:sz="4" w:space="0" w:color="auto"/>
              <w:right w:val="single" w:sz="4" w:space="0" w:color="auto"/>
            </w:tcBorders>
            <w:shd w:val="clear" w:color="auto" w:fill="auto"/>
            <w:vAlign w:val="center"/>
            <w:hideMark/>
          </w:tcPr>
          <w:p w14:paraId="79D3C049" w14:textId="77777777" w:rsidR="00FD3CD4" w:rsidRPr="00F42DC0" w:rsidRDefault="00FD3CD4" w:rsidP="000206E9">
            <w:pPr>
              <w:jc w:val="center"/>
              <w:rPr>
                <w:rFonts w:cs="Arial"/>
              </w:rPr>
            </w:pPr>
            <w:r w:rsidRPr="00F42DC0">
              <w:rPr>
                <w:rFonts w:cs="Arial"/>
              </w:rPr>
              <w:t>1</w:t>
            </w:r>
          </w:p>
        </w:tc>
        <w:tc>
          <w:tcPr>
            <w:tcW w:w="883" w:type="dxa"/>
            <w:tcBorders>
              <w:top w:val="nil"/>
              <w:left w:val="nil"/>
              <w:bottom w:val="single" w:sz="4" w:space="0" w:color="auto"/>
              <w:right w:val="single" w:sz="4" w:space="0" w:color="auto"/>
            </w:tcBorders>
            <w:shd w:val="clear" w:color="auto" w:fill="auto"/>
            <w:vAlign w:val="center"/>
            <w:hideMark/>
          </w:tcPr>
          <w:p w14:paraId="4B84B2F8" w14:textId="77777777" w:rsidR="00FD3CD4" w:rsidRPr="00F42DC0" w:rsidRDefault="00FD3CD4" w:rsidP="000206E9">
            <w:pPr>
              <w:jc w:val="center"/>
              <w:rPr>
                <w:rFonts w:cs="Arial"/>
              </w:rPr>
            </w:pPr>
            <w:r w:rsidRPr="00F42DC0">
              <w:rPr>
                <w:rFonts w:cs="Arial"/>
              </w:rPr>
              <w:t>1</w:t>
            </w:r>
          </w:p>
        </w:tc>
        <w:tc>
          <w:tcPr>
            <w:tcW w:w="985" w:type="dxa"/>
            <w:tcBorders>
              <w:top w:val="nil"/>
              <w:left w:val="nil"/>
              <w:bottom w:val="single" w:sz="4" w:space="0" w:color="auto"/>
              <w:right w:val="single" w:sz="4" w:space="0" w:color="auto"/>
            </w:tcBorders>
            <w:shd w:val="clear" w:color="auto" w:fill="auto"/>
            <w:vAlign w:val="center"/>
            <w:hideMark/>
          </w:tcPr>
          <w:p w14:paraId="3CD2B713" w14:textId="77777777" w:rsidR="00FD3CD4" w:rsidRPr="00F42DC0" w:rsidRDefault="00FC419D" w:rsidP="000206E9">
            <w:pPr>
              <w:jc w:val="center"/>
              <w:rPr>
                <w:rFonts w:cs="Arial"/>
              </w:rPr>
            </w:pPr>
            <w:r>
              <w:rPr>
                <w:rFonts w:cs="Arial"/>
              </w:rPr>
              <w:t>0</w:t>
            </w:r>
          </w:p>
        </w:tc>
      </w:tr>
      <w:tr w:rsidR="00FD3CD4" w:rsidRPr="00F42DC0" w14:paraId="461317A2" w14:textId="77777777" w:rsidTr="0021258F">
        <w:trPr>
          <w:trHeight w:val="300"/>
        </w:trPr>
        <w:tc>
          <w:tcPr>
            <w:tcW w:w="6054" w:type="dxa"/>
            <w:tcBorders>
              <w:top w:val="nil"/>
              <w:left w:val="single" w:sz="4" w:space="0" w:color="auto"/>
              <w:bottom w:val="single" w:sz="4" w:space="0" w:color="auto"/>
              <w:right w:val="nil"/>
            </w:tcBorders>
            <w:shd w:val="clear" w:color="auto" w:fill="auto"/>
            <w:vAlign w:val="center"/>
            <w:hideMark/>
          </w:tcPr>
          <w:p w14:paraId="1F880730" w14:textId="77777777" w:rsidR="00FD3CD4" w:rsidRPr="00F42DC0" w:rsidRDefault="00FD3CD4" w:rsidP="00394B5F">
            <w:pPr>
              <w:rPr>
                <w:rFonts w:cs="Arial"/>
              </w:rPr>
            </w:pPr>
            <w:r w:rsidRPr="00F42DC0">
              <w:rPr>
                <w:rFonts w:cs="Arial"/>
              </w:rPr>
              <w:t>Support paperless systems</w:t>
            </w:r>
          </w:p>
        </w:tc>
        <w:tc>
          <w:tcPr>
            <w:tcW w:w="1150" w:type="dxa"/>
            <w:tcBorders>
              <w:top w:val="nil"/>
              <w:left w:val="single" w:sz="4" w:space="0" w:color="auto"/>
              <w:bottom w:val="single" w:sz="4" w:space="0" w:color="auto"/>
              <w:right w:val="single" w:sz="4" w:space="0" w:color="auto"/>
            </w:tcBorders>
            <w:shd w:val="clear" w:color="auto" w:fill="auto"/>
            <w:vAlign w:val="center"/>
            <w:hideMark/>
          </w:tcPr>
          <w:p w14:paraId="40889215" w14:textId="77777777" w:rsidR="00FD3CD4" w:rsidRPr="00F42DC0" w:rsidRDefault="00FD3CD4" w:rsidP="000206E9">
            <w:pPr>
              <w:jc w:val="center"/>
              <w:rPr>
                <w:rFonts w:cs="Arial"/>
              </w:rPr>
            </w:pPr>
            <w:r w:rsidRPr="00F42DC0">
              <w:rPr>
                <w:rFonts w:cs="Arial"/>
              </w:rPr>
              <w:t>2</w:t>
            </w:r>
          </w:p>
        </w:tc>
        <w:tc>
          <w:tcPr>
            <w:tcW w:w="883" w:type="dxa"/>
            <w:tcBorders>
              <w:top w:val="nil"/>
              <w:left w:val="nil"/>
              <w:bottom w:val="single" w:sz="4" w:space="0" w:color="auto"/>
              <w:right w:val="single" w:sz="4" w:space="0" w:color="auto"/>
            </w:tcBorders>
            <w:shd w:val="clear" w:color="auto" w:fill="auto"/>
            <w:vAlign w:val="center"/>
            <w:hideMark/>
          </w:tcPr>
          <w:p w14:paraId="5258FAB5" w14:textId="77777777" w:rsidR="00FD3CD4" w:rsidRPr="00F42DC0" w:rsidRDefault="00FD3CD4" w:rsidP="000206E9">
            <w:pPr>
              <w:jc w:val="center"/>
              <w:rPr>
                <w:rFonts w:cs="Arial"/>
              </w:rPr>
            </w:pPr>
            <w:r w:rsidRPr="00F42DC0">
              <w:rPr>
                <w:rFonts w:cs="Arial"/>
              </w:rPr>
              <w:t>0</w:t>
            </w:r>
          </w:p>
        </w:tc>
        <w:tc>
          <w:tcPr>
            <w:tcW w:w="985" w:type="dxa"/>
            <w:tcBorders>
              <w:top w:val="nil"/>
              <w:left w:val="nil"/>
              <w:bottom w:val="single" w:sz="4" w:space="0" w:color="auto"/>
              <w:right w:val="single" w:sz="4" w:space="0" w:color="auto"/>
            </w:tcBorders>
            <w:shd w:val="clear" w:color="auto" w:fill="auto"/>
            <w:vAlign w:val="center"/>
            <w:hideMark/>
          </w:tcPr>
          <w:p w14:paraId="3A96CBBE" w14:textId="77777777" w:rsidR="00FD3CD4" w:rsidRPr="00F42DC0" w:rsidRDefault="00FC419D" w:rsidP="000206E9">
            <w:pPr>
              <w:jc w:val="center"/>
              <w:rPr>
                <w:rFonts w:cs="Arial"/>
              </w:rPr>
            </w:pPr>
            <w:r>
              <w:rPr>
                <w:rFonts w:cs="Arial"/>
              </w:rPr>
              <w:t>0</w:t>
            </w:r>
          </w:p>
        </w:tc>
      </w:tr>
      <w:tr w:rsidR="00FD3CD4" w:rsidRPr="00F42DC0" w14:paraId="4619EA66" w14:textId="77777777" w:rsidTr="0021258F">
        <w:trPr>
          <w:trHeight w:val="600"/>
        </w:trPr>
        <w:tc>
          <w:tcPr>
            <w:tcW w:w="6054" w:type="dxa"/>
            <w:tcBorders>
              <w:top w:val="nil"/>
              <w:left w:val="single" w:sz="4" w:space="0" w:color="auto"/>
              <w:bottom w:val="single" w:sz="4" w:space="0" w:color="auto"/>
              <w:right w:val="nil"/>
            </w:tcBorders>
            <w:shd w:val="clear" w:color="auto" w:fill="auto"/>
            <w:vAlign w:val="center"/>
            <w:hideMark/>
          </w:tcPr>
          <w:p w14:paraId="657E72FF" w14:textId="77777777" w:rsidR="00FD3CD4" w:rsidRPr="00F42DC0" w:rsidRDefault="00FD3CD4" w:rsidP="00394B5F">
            <w:pPr>
              <w:rPr>
                <w:rFonts w:cs="Arial"/>
              </w:rPr>
            </w:pPr>
            <w:r w:rsidRPr="00F42DC0">
              <w:rPr>
                <w:rFonts w:cs="Arial"/>
              </w:rPr>
              <w:t>Support the environment (reduction of noise, air and chemical pollution)</w:t>
            </w:r>
          </w:p>
        </w:tc>
        <w:tc>
          <w:tcPr>
            <w:tcW w:w="1150" w:type="dxa"/>
            <w:tcBorders>
              <w:top w:val="nil"/>
              <w:left w:val="single" w:sz="4" w:space="0" w:color="auto"/>
              <w:bottom w:val="single" w:sz="4" w:space="0" w:color="auto"/>
              <w:right w:val="single" w:sz="4" w:space="0" w:color="auto"/>
            </w:tcBorders>
            <w:shd w:val="clear" w:color="auto" w:fill="auto"/>
            <w:vAlign w:val="center"/>
            <w:hideMark/>
          </w:tcPr>
          <w:p w14:paraId="3F0E95FA" w14:textId="77777777" w:rsidR="00FD3CD4" w:rsidRPr="00F42DC0" w:rsidRDefault="00FD3CD4" w:rsidP="000206E9">
            <w:pPr>
              <w:jc w:val="center"/>
              <w:rPr>
                <w:rFonts w:cs="Arial"/>
              </w:rPr>
            </w:pPr>
            <w:r w:rsidRPr="00F42DC0">
              <w:rPr>
                <w:rFonts w:cs="Arial"/>
              </w:rPr>
              <w:t>1</w:t>
            </w:r>
          </w:p>
        </w:tc>
        <w:tc>
          <w:tcPr>
            <w:tcW w:w="883" w:type="dxa"/>
            <w:tcBorders>
              <w:top w:val="nil"/>
              <w:left w:val="nil"/>
              <w:bottom w:val="single" w:sz="4" w:space="0" w:color="auto"/>
              <w:right w:val="single" w:sz="4" w:space="0" w:color="auto"/>
            </w:tcBorders>
            <w:shd w:val="clear" w:color="auto" w:fill="auto"/>
            <w:vAlign w:val="center"/>
            <w:hideMark/>
          </w:tcPr>
          <w:p w14:paraId="2D9C5C88" w14:textId="77777777" w:rsidR="00FD3CD4" w:rsidRPr="00F42DC0" w:rsidRDefault="00FD3CD4" w:rsidP="000206E9">
            <w:pPr>
              <w:jc w:val="center"/>
              <w:rPr>
                <w:rFonts w:cs="Arial"/>
              </w:rPr>
            </w:pPr>
            <w:r w:rsidRPr="00F42DC0">
              <w:rPr>
                <w:rFonts w:cs="Arial"/>
              </w:rPr>
              <w:t>1</w:t>
            </w:r>
          </w:p>
        </w:tc>
        <w:tc>
          <w:tcPr>
            <w:tcW w:w="985" w:type="dxa"/>
            <w:tcBorders>
              <w:top w:val="nil"/>
              <w:left w:val="nil"/>
              <w:bottom w:val="single" w:sz="4" w:space="0" w:color="auto"/>
              <w:right w:val="single" w:sz="4" w:space="0" w:color="auto"/>
            </w:tcBorders>
            <w:shd w:val="clear" w:color="auto" w:fill="auto"/>
            <w:vAlign w:val="center"/>
            <w:hideMark/>
          </w:tcPr>
          <w:p w14:paraId="62969689" w14:textId="77777777" w:rsidR="00FD3CD4" w:rsidRPr="00F42DC0" w:rsidRDefault="00FC419D" w:rsidP="000206E9">
            <w:pPr>
              <w:jc w:val="center"/>
              <w:rPr>
                <w:rFonts w:cs="Arial"/>
              </w:rPr>
            </w:pPr>
            <w:r>
              <w:rPr>
                <w:rFonts w:cs="Arial"/>
              </w:rPr>
              <w:t>0</w:t>
            </w:r>
          </w:p>
        </w:tc>
      </w:tr>
      <w:tr w:rsidR="00FD3CD4" w:rsidRPr="00F42DC0" w14:paraId="450D04ED" w14:textId="77777777" w:rsidTr="0021258F">
        <w:trPr>
          <w:trHeight w:val="300"/>
        </w:trPr>
        <w:tc>
          <w:tcPr>
            <w:tcW w:w="6054" w:type="dxa"/>
            <w:tcBorders>
              <w:top w:val="nil"/>
              <w:left w:val="single" w:sz="4" w:space="0" w:color="auto"/>
              <w:bottom w:val="single" w:sz="4" w:space="0" w:color="auto"/>
              <w:right w:val="nil"/>
            </w:tcBorders>
            <w:shd w:val="clear" w:color="auto" w:fill="auto"/>
            <w:vAlign w:val="center"/>
            <w:hideMark/>
          </w:tcPr>
          <w:p w14:paraId="6B4222B8" w14:textId="77777777" w:rsidR="00FD3CD4" w:rsidRDefault="00FD3CD4" w:rsidP="00394B5F">
            <w:pPr>
              <w:rPr>
                <w:rFonts w:cs="Arial"/>
              </w:rPr>
            </w:pPr>
            <w:r w:rsidRPr="00F42DC0">
              <w:rPr>
                <w:rFonts w:cs="Arial"/>
              </w:rPr>
              <w:t xml:space="preserve">Work placements </w:t>
            </w:r>
          </w:p>
          <w:p w14:paraId="633ADA9D" w14:textId="77777777" w:rsidR="00FD3CD4" w:rsidRPr="00F42DC0" w:rsidRDefault="00FD3CD4" w:rsidP="00394B5F">
            <w:pPr>
              <w:rPr>
                <w:rFonts w:cs="Arial"/>
                <w:sz w:val="20"/>
              </w:rPr>
            </w:pPr>
            <w:r w:rsidRPr="00B870CE">
              <w:rPr>
                <w:rFonts w:cs="Arial"/>
                <w:sz w:val="20"/>
              </w:rPr>
              <w:t>Offers vary around work experience, 4 weeks work placement</w:t>
            </w:r>
            <w:r>
              <w:rPr>
                <w:rFonts w:cs="Arial"/>
                <w:sz w:val="20"/>
              </w:rPr>
              <w:t>, work placement for Academy</w:t>
            </w:r>
          </w:p>
        </w:tc>
        <w:tc>
          <w:tcPr>
            <w:tcW w:w="1150" w:type="dxa"/>
            <w:tcBorders>
              <w:top w:val="nil"/>
              <w:left w:val="single" w:sz="4" w:space="0" w:color="auto"/>
              <w:bottom w:val="single" w:sz="4" w:space="0" w:color="auto"/>
              <w:right w:val="single" w:sz="4" w:space="0" w:color="auto"/>
            </w:tcBorders>
            <w:shd w:val="clear" w:color="auto" w:fill="auto"/>
            <w:vAlign w:val="center"/>
            <w:hideMark/>
          </w:tcPr>
          <w:p w14:paraId="63E196EB" w14:textId="77777777" w:rsidR="00FD3CD4" w:rsidRPr="00F42DC0" w:rsidRDefault="00FD3CD4" w:rsidP="000206E9">
            <w:pPr>
              <w:jc w:val="center"/>
              <w:rPr>
                <w:rFonts w:cs="Arial"/>
              </w:rPr>
            </w:pPr>
            <w:r w:rsidRPr="00F42DC0">
              <w:rPr>
                <w:rFonts w:cs="Arial"/>
              </w:rPr>
              <w:t>0</w:t>
            </w:r>
          </w:p>
        </w:tc>
        <w:tc>
          <w:tcPr>
            <w:tcW w:w="883" w:type="dxa"/>
            <w:tcBorders>
              <w:top w:val="nil"/>
              <w:left w:val="nil"/>
              <w:bottom w:val="single" w:sz="4" w:space="0" w:color="auto"/>
              <w:right w:val="single" w:sz="4" w:space="0" w:color="auto"/>
            </w:tcBorders>
            <w:shd w:val="clear" w:color="auto" w:fill="auto"/>
            <w:vAlign w:val="center"/>
            <w:hideMark/>
          </w:tcPr>
          <w:p w14:paraId="6067A610" w14:textId="77777777" w:rsidR="00FD3CD4" w:rsidRPr="00F42DC0" w:rsidRDefault="00FD3CD4" w:rsidP="000206E9">
            <w:pPr>
              <w:jc w:val="center"/>
              <w:rPr>
                <w:rFonts w:cs="Arial"/>
              </w:rPr>
            </w:pPr>
            <w:r>
              <w:rPr>
                <w:rFonts w:cs="Arial"/>
              </w:rPr>
              <w:t>3</w:t>
            </w:r>
          </w:p>
        </w:tc>
        <w:tc>
          <w:tcPr>
            <w:tcW w:w="985" w:type="dxa"/>
            <w:tcBorders>
              <w:top w:val="nil"/>
              <w:left w:val="nil"/>
              <w:bottom w:val="single" w:sz="4" w:space="0" w:color="auto"/>
              <w:right w:val="single" w:sz="4" w:space="0" w:color="auto"/>
            </w:tcBorders>
            <w:shd w:val="clear" w:color="auto" w:fill="auto"/>
            <w:vAlign w:val="center"/>
            <w:hideMark/>
          </w:tcPr>
          <w:p w14:paraId="035A94D9" w14:textId="77777777" w:rsidR="00FD3CD4" w:rsidRPr="00F42DC0" w:rsidRDefault="00FC419D" w:rsidP="000206E9">
            <w:pPr>
              <w:jc w:val="center"/>
              <w:rPr>
                <w:rFonts w:cs="Arial"/>
              </w:rPr>
            </w:pPr>
            <w:r>
              <w:rPr>
                <w:rFonts w:cs="Arial"/>
              </w:rPr>
              <w:t>0</w:t>
            </w:r>
          </w:p>
        </w:tc>
      </w:tr>
      <w:tr w:rsidR="00FD3CD4" w:rsidRPr="00F42DC0" w14:paraId="38BE777C" w14:textId="77777777" w:rsidTr="0021258F">
        <w:trPr>
          <w:trHeight w:val="300"/>
        </w:trPr>
        <w:tc>
          <w:tcPr>
            <w:tcW w:w="6054" w:type="dxa"/>
            <w:tcBorders>
              <w:top w:val="nil"/>
              <w:left w:val="single" w:sz="4" w:space="0" w:color="auto"/>
              <w:bottom w:val="single" w:sz="4" w:space="0" w:color="auto"/>
              <w:right w:val="nil"/>
            </w:tcBorders>
            <w:shd w:val="clear" w:color="auto" w:fill="auto"/>
            <w:vAlign w:val="center"/>
            <w:hideMark/>
          </w:tcPr>
          <w:p w14:paraId="1F82C580" w14:textId="77777777" w:rsidR="00FD3CD4" w:rsidRDefault="00FD3CD4" w:rsidP="00394B5F">
            <w:pPr>
              <w:rPr>
                <w:rFonts w:cs="Arial"/>
              </w:rPr>
            </w:pPr>
            <w:r w:rsidRPr="00F42DC0">
              <w:rPr>
                <w:rFonts w:cs="Arial"/>
              </w:rPr>
              <w:t>Work with schools or colleges in Oxford</w:t>
            </w:r>
          </w:p>
          <w:p w14:paraId="76DF8B53" w14:textId="77777777" w:rsidR="00FD3CD4" w:rsidRPr="00F42DC0" w:rsidRDefault="00FD3CD4" w:rsidP="00394B5F">
            <w:pPr>
              <w:rPr>
                <w:rFonts w:cs="Arial"/>
              </w:rPr>
            </w:pPr>
            <w:r w:rsidRPr="009D548A">
              <w:rPr>
                <w:rFonts w:cs="Arial"/>
                <w:sz w:val="20"/>
              </w:rPr>
              <w:t>Offers vary</w:t>
            </w:r>
            <w:r>
              <w:rPr>
                <w:rFonts w:cs="Arial"/>
                <w:sz w:val="20"/>
              </w:rPr>
              <w:t xml:space="preserve"> from 40 hours with schools or colleges, attending a school career event, run sustainable design w/shops, career fairs. </w:t>
            </w:r>
          </w:p>
        </w:tc>
        <w:tc>
          <w:tcPr>
            <w:tcW w:w="1150" w:type="dxa"/>
            <w:tcBorders>
              <w:top w:val="nil"/>
              <w:left w:val="single" w:sz="4" w:space="0" w:color="auto"/>
              <w:bottom w:val="single" w:sz="4" w:space="0" w:color="auto"/>
              <w:right w:val="single" w:sz="4" w:space="0" w:color="auto"/>
            </w:tcBorders>
            <w:shd w:val="clear" w:color="auto" w:fill="auto"/>
            <w:vAlign w:val="center"/>
            <w:hideMark/>
          </w:tcPr>
          <w:p w14:paraId="78F0E875" w14:textId="77777777" w:rsidR="00FD3CD4" w:rsidRPr="00F42DC0" w:rsidRDefault="00FD3CD4" w:rsidP="000206E9">
            <w:pPr>
              <w:jc w:val="center"/>
              <w:rPr>
                <w:rFonts w:cs="Arial"/>
              </w:rPr>
            </w:pPr>
            <w:r>
              <w:rPr>
                <w:rFonts w:cs="Arial"/>
              </w:rPr>
              <w:t>1</w:t>
            </w:r>
          </w:p>
        </w:tc>
        <w:tc>
          <w:tcPr>
            <w:tcW w:w="883" w:type="dxa"/>
            <w:tcBorders>
              <w:top w:val="nil"/>
              <w:left w:val="nil"/>
              <w:bottom w:val="single" w:sz="4" w:space="0" w:color="auto"/>
              <w:right w:val="single" w:sz="4" w:space="0" w:color="auto"/>
            </w:tcBorders>
            <w:shd w:val="clear" w:color="auto" w:fill="auto"/>
            <w:vAlign w:val="center"/>
            <w:hideMark/>
          </w:tcPr>
          <w:p w14:paraId="4D12D3B4" w14:textId="77777777" w:rsidR="00FD3CD4" w:rsidRPr="00F42DC0" w:rsidRDefault="00FD3CD4" w:rsidP="000206E9">
            <w:pPr>
              <w:jc w:val="center"/>
              <w:rPr>
                <w:rFonts w:cs="Arial"/>
              </w:rPr>
            </w:pPr>
            <w:r w:rsidRPr="00F42DC0">
              <w:rPr>
                <w:rFonts w:cs="Arial"/>
              </w:rPr>
              <w:t>3</w:t>
            </w:r>
          </w:p>
        </w:tc>
        <w:tc>
          <w:tcPr>
            <w:tcW w:w="985" w:type="dxa"/>
            <w:tcBorders>
              <w:top w:val="nil"/>
              <w:left w:val="nil"/>
              <w:bottom w:val="single" w:sz="4" w:space="0" w:color="auto"/>
              <w:right w:val="single" w:sz="4" w:space="0" w:color="auto"/>
            </w:tcBorders>
            <w:shd w:val="clear" w:color="auto" w:fill="auto"/>
            <w:vAlign w:val="center"/>
            <w:hideMark/>
          </w:tcPr>
          <w:p w14:paraId="66507C53" w14:textId="77777777" w:rsidR="00FD3CD4" w:rsidRPr="00F42DC0" w:rsidRDefault="00FC419D" w:rsidP="000206E9">
            <w:pPr>
              <w:jc w:val="center"/>
              <w:rPr>
                <w:rFonts w:cs="Arial"/>
              </w:rPr>
            </w:pPr>
            <w:r>
              <w:rPr>
                <w:rFonts w:cs="Arial"/>
              </w:rPr>
              <w:t>0</w:t>
            </w:r>
          </w:p>
        </w:tc>
      </w:tr>
      <w:tr w:rsidR="00FD3CD4" w:rsidRPr="00F42DC0" w14:paraId="07EAEC56" w14:textId="77777777" w:rsidTr="0021258F">
        <w:trPr>
          <w:trHeight w:val="300"/>
        </w:trPr>
        <w:tc>
          <w:tcPr>
            <w:tcW w:w="6054" w:type="dxa"/>
            <w:tcBorders>
              <w:top w:val="nil"/>
              <w:left w:val="single" w:sz="4" w:space="0" w:color="auto"/>
              <w:bottom w:val="single" w:sz="4" w:space="0" w:color="auto"/>
              <w:right w:val="nil"/>
            </w:tcBorders>
            <w:shd w:val="clear" w:color="auto" w:fill="auto"/>
            <w:vAlign w:val="center"/>
            <w:hideMark/>
          </w:tcPr>
          <w:p w14:paraId="7DFAA922" w14:textId="77777777" w:rsidR="00FD3CD4" w:rsidRPr="00F42DC0" w:rsidRDefault="00FD3CD4" w:rsidP="00394B5F">
            <w:pPr>
              <w:rPr>
                <w:rFonts w:cs="Arial"/>
              </w:rPr>
            </w:pPr>
            <w:r w:rsidRPr="00F42DC0">
              <w:rPr>
                <w:rFonts w:cs="Arial"/>
              </w:rPr>
              <w:t>Increase tourist revenue</w:t>
            </w:r>
          </w:p>
        </w:tc>
        <w:tc>
          <w:tcPr>
            <w:tcW w:w="1150" w:type="dxa"/>
            <w:tcBorders>
              <w:top w:val="nil"/>
              <w:left w:val="single" w:sz="4" w:space="0" w:color="auto"/>
              <w:bottom w:val="single" w:sz="4" w:space="0" w:color="auto"/>
              <w:right w:val="single" w:sz="4" w:space="0" w:color="auto"/>
            </w:tcBorders>
            <w:shd w:val="clear" w:color="auto" w:fill="auto"/>
            <w:vAlign w:val="center"/>
            <w:hideMark/>
          </w:tcPr>
          <w:p w14:paraId="14377C6F" w14:textId="77777777" w:rsidR="00FD3CD4" w:rsidRPr="00F42DC0" w:rsidRDefault="00FD3CD4" w:rsidP="000206E9">
            <w:pPr>
              <w:jc w:val="center"/>
              <w:rPr>
                <w:rFonts w:cs="Arial"/>
              </w:rPr>
            </w:pPr>
            <w:r w:rsidRPr="00F42DC0">
              <w:rPr>
                <w:rFonts w:cs="Arial"/>
              </w:rPr>
              <w:t>1</w:t>
            </w:r>
          </w:p>
        </w:tc>
        <w:tc>
          <w:tcPr>
            <w:tcW w:w="883" w:type="dxa"/>
            <w:tcBorders>
              <w:top w:val="nil"/>
              <w:left w:val="nil"/>
              <w:bottom w:val="single" w:sz="4" w:space="0" w:color="auto"/>
              <w:right w:val="single" w:sz="4" w:space="0" w:color="auto"/>
            </w:tcBorders>
            <w:shd w:val="clear" w:color="auto" w:fill="auto"/>
            <w:vAlign w:val="center"/>
            <w:hideMark/>
          </w:tcPr>
          <w:p w14:paraId="2FAD6433" w14:textId="77777777" w:rsidR="00FD3CD4" w:rsidRPr="00F42DC0" w:rsidRDefault="00FD3CD4" w:rsidP="000206E9">
            <w:pPr>
              <w:jc w:val="center"/>
              <w:rPr>
                <w:rFonts w:cs="Arial"/>
              </w:rPr>
            </w:pPr>
            <w:r w:rsidRPr="00F42DC0">
              <w:rPr>
                <w:rFonts w:cs="Arial"/>
              </w:rPr>
              <w:t>0</w:t>
            </w:r>
          </w:p>
        </w:tc>
        <w:tc>
          <w:tcPr>
            <w:tcW w:w="985" w:type="dxa"/>
            <w:tcBorders>
              <w:top w:val="nil"/>
              <w:left w:val="nil"/>
              <w:bottom w:val="single" w:sz="4" w:space="0" w:color="auto"/>
              <w:right w:val="single" w:sz="4" w:space="0" w:color="auto"/>
            </w:tcBorders>
            <w:shd w:val="clear" w:color="auto" w:fill="auto"/>
            <w:vAlign w:val="center"/>
            <w:hideMark/>
          </w:tcPr>
          <w:p w14:paraId="29E9C302" w14:textId="77777777" w:rsidR="00FD3CD4" w:rsidRPr="00F42DC0" w:rsidRDefault="00FC419D" w:rsidP="000206E9">
            <w:pPr>
              <w:jc w:val="center"/>
              <w:rPr>
                <w:rFonts w:cs="Arial"/>
              </w:rPr>
            </w:pPr>
            <w:r>
              <w:rPr>
                <w:rFonts w:cs="Arial"/>
              </w:rPr>
              <w:t>0</w:t>
            </w:r>
          </w:p>
        </w:tc>
      </w:tr>
      <w:tr w:rsidR="00FD3CD4" w:rsidRPr="00F42DC0" w14:paraId="61D2D380" w14:textId="77777777" w:rsidTr="0021258F">
        <w:trPr>
          <w:trHeight w:val="435"/>
        </w:trPr>
        <w:tc>
          <w:tcPr>
            <w:tcW w:w="6054" w:type="dxa"/>
            <w:tcBorders>
              <w:top w:val="nil"/>
              <w:left w:val="single" w:sz="4" w:space="0" w:color="auto"/>
              <w:bottom w:val="single" w:sz="4" w:space="0" w:color="auto"/>
              <w:right w:val="nil"/>
            </w:tcBorders>
            <w:shd w:val="clear" w:color="auto" w:fill="auto"/>
            <w:vAlign w:val="center"/>
            <w:hideMark/>
          </w:tcPr>
          <w:p w14:paraId="5A795317" w14:textId="77777777" w:rsidR="00FD3CD4" w:rsidRPr="00F42DC0" w:rsidRDefault="00FD3CD4" w:rsidP="00394B5F">
            <w:pPr>
              <w:rPr>
                <w:rFonts w:cs="Arial"/>
              </w:rPr>
            </w:pPr>
            <w:r w:rsidRPr="00F42DC0">
              <w:rPr>
                <w:rFonts w:cs="Arial"/>
              </w:rPr>
              <w:t>Invest in hybrid vehicles - reduction in carbon footprint</w:t>
            </w:r>
          </w:p>
        </w:tc>
        <w:tc>
          <w:tcPr>
            <w:tcW w:w="1150" w:type="dxa"/>
            <w:tcBorders>
              <w:top w:val="nil"/>
              <w:left w:val="single" w:sz="4" w:space="0" w:color="auto"/>
              <w:bottom w:val="single" w:sz="4" w:space="0" w:color="auto"/>
              <w:right w:val="single" w:sz="4" w:space="0" w:color="auto"/>
            </w:tcBorders>
            <w:shd w:val="clear" w:color="auto" w:fill="auto"/>
            <w:vAlign w:val="center"/>
            <w:hideMark/>
          </w:tcPr>
          <w:p w14:paraId="7B758DDE" w14:textId="77777777" w:rsidR="00FD3CD4" w:rsidRPr="00F42DC0" w:rsidRDefault="00FD3CD4" w:rsidP="000206E9">
            <w:pPr>
              <w:jc w:val="center"/>
              <w:rPr>
                <w:rFonts w:cs="Arial"/>
              </w:rPr>
            </w:pPr>
            <w:r w:rsidRPr="00F42DC0">
              <w:rPr>
                <w:rFonts w:cs="Arial"/>
              </w:rPr>
              <w:t>1</w:t>
            </w:r>
          </w:p>
        </w:tc>
        <w:tc>
          <w:tcPr>
            <w:tcW w:w="883" w:type="dxa"/>
            <w:tcBorders>
              <w:top w:val="nil"/>
              <w:left w:val="nil"/>
              <w:bottom w:val="single" w:sz="4" w:space="0" w:color="auto"/>
              <w:right w:val="single" w:sz="4" w:space="0" w:color="auto"/>
            </w:tcBorders>
            <w:shd w:val="clear" w:color="auto" w:fill="auto"/>
            <w:vAlign w:val="center"/>
            <w:hideMark/>
          </w:tcPr>
          <w:p w14:paraId="67D068CB" w14:textId="77777777" w:rsidR="00FD3CD4" w:rsidRPr="00F42DC0" w:rsidRDefault="00FD3CD4" w:rsidP="000206E9">
            <w:pPr>
              <w:jc w:val="center"/>
              <w:rPr>
                <w:rFonts w:cs="Arial"/>
              </w:rPr>
            </w:pPr>
            <w:r w:rsidRPr="00F42DC0">
              <w:rPr>
                <w:rFonts w:cs="Arial"/>
              </w:rPr>
              <w:t>0</w:t>
            </w:r>
          </w:p>
        </w:tc>
        <w:tc>
          <w:tcPr>
            <w:tcW w:w="985" w:type="dxa"/>
            <w:tcBorders>
              <w:top w:val="nil"/>
              <w:left w:val="nil"/>
              <w:bottom w:val="single" w:sz="4" w:space="0" w:color="auto"/>
              <w:right w:val="single" w:sz="4" w:space="0" w:color="auto"/>
            </w:tcBorders>
            <w:shd w:val="clear" w:color="auto" w:fill="auto"/>
            <w:vAlign w:val="center"/>
            <w:hideMark/>
          </w:tcPr>
          <w:p w14:paraId="41512A5C" w14:textId="77777777" w:rsidR="00FD3CD4" w:rsidRPr="00F42DC0" w:rsidRDefault="00FC419D" w:rsidP="000206E9">
            <w:pPr>
              <w:jc w:val="center"/>
              <w:rPr>
                <w:rFonts w:cs="Arial"/>
              </w:rPr>
            </w:pPr>
            <w:r>
              <w:rPr>
                <w:rFonts w:cs="Arial"/>
              </w:rPr>
              <w:t>0</w:t>
            </w:r>
          </w:p>
        </w:tc>
      </w:tr>
      <w:tr w:rsidR="00FD3CD4" w:rsidRPr="00F42DC0" w14:paraId="1DD57735" w14:textId="77777777" w:rsidTr="0021258F">
        <w:trPr>
          <w:trHeight w:val="300"/>
        </w:trPr>
        <w:tc>
          <w:tcPr>
            <w:tcW w:w="6054" w:type="dxa"/>
            <w:tcBorders>
              <w:top w:val="nil"/>
              <w:left w:val="single" w:sz="4" w:space="0" w:color="auto"/>
              <w:bottom w:val="single" w:sz="4" w:space="0" w:color="auto"/>
              <w:right w:val="nil"/>
            </w:tcBorders>
            <w:shd w:val="clear" w:color="auto" w:fill="auto"/>
            <w:vAlign w:val="center"/>
            <w:hideMark/>
          </w:tcPr>
          <w:p w14:paraId="7008CBA9" w14:textId="77777777" w:rsidR="00FD3CD4" w:rsidRPr="00F42DC0" w:rsidRDefault="00FD3CD4" w:rsidP="00394B5F">
            <w:pPr>
              <w:rPr>
                <w:rFonts w:cs="Arial"/>
              </w:rPr>
            </w:pPr>
            <w:r w:rsidRPr="00F42DC0">
              <w:rPr>
                <w:rFonts w:cs="Arial"/>
              </w:rPr>
              <w:t>Specialist advice to local people</w:t>
            </w:r>
          </w:p>
        </w:tc>
        <w:tc>
          <w:tcPr>
            <w:tcW w:w="1150" w:type="dxa"/>
            <w:tcBorders>
              <w:top w:val="nil"/>
              <w:left w:val="single" w:sz="4" w:space="0" w:color="auto"/>
              <w:bottom w:val="single" w:sz="4" w:space="0" w:color="auto"/>
              <w:right w:val="single" w:sz="4" w:space="0" w:color="auto"/>
            </w:tcBorders>
            <w:shd w:val="clear" w:color="auto" w:fill="auto"/>
            <w:vAlign w:val="center"/>
            <w:hideMark/>
          </w:tcPr>
          <w:p w14:paraId="1C79FD65" w14:textId="77777777" w:rsidR="00FD3CD4" w:rsidRPr="00F42DC0" w:rsidRDefault="00FD3CD4" w:rsidP="000206E9">
            <w:pPr>
              <w:jc w:val="center"/>
              <w:rPr>
                <w:rFonts w:cs="Arial"/>
              </w:rPr>
            </w:pPr>
            <w:r w:rsidRPr="00F42DC0">
              <w:rPr>
                <w:rFonts w:cs="Arial"/>
              </w:rPr>
              <w:t>0</w:t>
            </w:r>
          </w:p>
        </w:tc>
        <w:tc>
          <w:tcPr>
            <w:tcW w:w="883" w:type="dxa"/>
            <w:tcBorders>
              <w:top w:val="nil"/>
              <w:left w:val="nil"/>
              <w:bottom w:val="single" w:sz="4" w:space="0" w:color="auto"/>
              <w:right w:val="single" w:sz="4" w:space="0" w:color="auto"/>
            </w:tcBorders>
            <w:shd w:val="clear" w:color="auto" w:fill="auto"/>
            <w:vAlign w:val="center"/>
            <w:hideMark/>
          </w:tcPr>
          <w:p w14:paraId="0EFACDDB" w14:textId="77777777" w:rsidR="00FD3CD4" w:rsidRPr="00F42DC0" w:rsidRDefault="00FD3CD4" w:rsidP="000206E9">
            <w:pPr>
              <w:jc w:val="center"/>
              <w:rPr>
                <w:rFonts w:cs="Arial"/>
              </w:rPr>
            </w:pPr>
            <w:r w:rsidRPr="00F42DC0">
              <w:rPr>
                <w:rFonts w:cs="Arial"/>
              </w:rPr>
              <w:t>1</w:t>
            </w:r>
          </w:p>
        </w:tc>
        <w:tc>
          <w:tcPr>
            <w:tcW w:w="985" w:type="dxa"/>
            <w:tcBorders>
              <w:top w:val="nil"/>
              <w:left w:val="nil"/>
              <w:bottom w:val="single" w:sz="4" w:space="0" w:color="auto"/>
              <w:right w:val="single" w:sz="4" w:space="0" w:color="auto"/>
            </w:tcBorders>
            <w:shd w:val="clear" w:color="auto" w:fill="auto"/>
            <w:vAlign w:val="center"/>
            <w:hideMark/>
          </w:tcPr>
          <w:p w14:paraId="46B80CF2" w14:textId="77777777" w:rsidR="00FD3CD4" w:rsidRPr="00F42DC0" w:rsidRDefault="00FC419D" w:rsidP="000206E9">
            <w:pPr>
              <w:jc w:val="center"/>
              <w:rPr>
                <w:rFonts w:cs="Arial"/>
              </w:rPr>
            </w:pPr>
            <w:r>
              <w:rPr>
                <w:rFonts w:cs="Arial"/>
              </w:rPr>
              <w:t>0</w:t>
            </w:r>
          </w:p>
        </w:tc>
      </w:tr>
      <w:tr w:rsidR="00FD3CD4" w:rsidRPr="00F42DC0" w14:paraId="660085DC" w14:textId="77777777" w:rsidTr="0021258F">
        <w:trPr>
          <w:trHeight w:val="600"/>
        </w:trPr>
        <w:tc>
          <w:tcPr>
            <w:tcW w:w="6054" w:type="dxa"/>
            <w:tcBorders>
              <w:top w:val="nil"/>
              <w:left w:val="single" w:sz="4" w:space="0" w:color="auto"/>
              <w:bottom w:val="single" w:sz="4" w:space="0" w:color="auto"/>
              <w:right w:val="nil"/>
            </w:tcBorders>
            <w:shd w:val="clear" w:color="auto" w:fill="auto"/>
            <w:vAlign w:val="center"/>
            <w:hideMark/>
          </w:tcPr>
          <w:p w14:paraId="214AF72F" w14:textId="77777777" w:rsidR="00FD3CD4" w:rsidRPr="00F42DC0" w:rsidRDefault="00FD3CD4" w:rsidP="00394B5F">
            <w:pPr>
              <w:rPr>
                <w:rFonts w:cs="Arial"/>
              </w:rPr>
            </w:pPr>
            <w:r w:rsidRPr="00F42DC0">
              <w:rPr>
                <w:rFonts w:cs="Arial"/>
              </w:rPr>
              <w:t xml:space="preserve">Support disabled residents of Oxford (and their families) </w:t>
            </w:r>
          </w:p>
        </w:tc>
        <w:tc>
          <w:tcPr>
            <w:tcW w:w="1150" w:type="dxa"/>
            <w:tcBorders>
              <w:top w:val="nil"/>
              <w:left w:val="single" w:sz="4" w:space="0" w:color="auto"/>
              <w:bottom w:val="single" w:sz="4" w:space="0" w:color="auto"/>
              <w:right w:val="single" w:sz="4" w:space="0" w:color="auto"/>
            </w:tcBorders>
            <w:shd w:val="clear" w:color="auto" w:fill="auto"/>
            <w:vAlign w:val="center"/>
            <w:hideMark/>
          </w:tcPr>
          <w:p w14:paraId="53F99220" w14:textId="77777777" w:rsidR="00FD3CD4" w:rsidRPr="00F42DC0" w:rsidRDefault="00FD3CD4" w:rsidP="000206E9">
            <w:pPr>
              <w:jc w:val="center"/>
              <w:rPr>
                <w:rFonts w:cs="Arial"/>
              </w:rPr>
            </w:pPr>
            <w:r w:rsidRPr="00F42DC0">
              <w:rPr>
                <w:rFonts w:cs="Arial"/>
              </w:rPr>
              <w:t>1</w:t>
            </w:r>
          </w:p>
        </w:tc>
        <w:tc>
          <w:tcPr>
            <w:tcW w:w="883" w:type="dxa"/>
            <w:tcBorders>
              <w:top w:val="nil"/>
              <w:left w:val="nil"/>
              <w:bottom w:val="single" w:sz="4" w:space="0" w:color="auto"/>
              <w:right w:val="single" w:sz="4" w:space="0" w:color="auto"/>
            </w:tcBorders>
            <w:shd w:val="clear" w:color="auto" w:fill="auto"/>
            <w:vAlign w:val="center"/>
            <w:hideMark/>
          </w:tcPr>
          <w:p w14:paraId="2867BD7A" w14:textId="77777777" w:rsidR="00FD3CD4" w:rsidRPr="00F42DC0" w:rsidRDefault="00FD3CD4" w:rsidP="000206E9">
            <w:pPr>
              <w:jc w:val="center"/>
              <w:rPr>
                <w:rFonts w:cs="Arial"/>
              </w:rPr>
            </w:pPr>
            <w:r w:rsidRPr="00F42DC0">
              <w:rPr>
                <w:rFonts w:cs="Arial"/>
              </w:rPr>
              <w:t>0</w:t>
            </w:r>
          </w:p>
        </w:tc>
        <w:tc>
          <w:tcPr>
            <w:tcW w:w="985" w:type="dxa"/>
            <w:tcBorders>
              <w:top w:val="nil"/>
              <w:left w:val="nil"/>
              <w:bottom w:val="single" w:sz="4" w:space="0" w:color="auto"/>
              <w:right w:val="single" w:sz="4" w:space="0" w:color="auto"/>
            </w:tcBorders>
            <w:shd w:val="clear" w:color="auto" w:fill="auto"/>
            <w:vAlign w:val="center"/>
            <w:hideMark/>
          </w:tcPr>
          <w:p w14:paraId="2EDCC1B8" w14:textId="77777777" w:rsidR="00FD3CD4" w:rsidRPr="00F42DC0" w:rsidRDefault="00FC419D" w:rsidP="000206E9">
            <w:pPr>
              <w:jc w:val="center"/>
              <w:rPr>
                <w:rFonts w:cs="Arial"/>
              </w:rPr>
            </w:pPr>
            <w:r>
              <w:rPr>
                <w:rFonts w:cs="Arial"/>
              </w:rPr>
              <w:t>0</w:t>
            </w:r>
          </w:p>
        </w:tc>
      </w:tr>
      <w:tr w:rsidR="00FD3CD4" w:rsidRPr="00F42DC0" w14:paraId="488D7BA9" w14:textId="77777777" w:rsidTr="0021258F">
        <w:trPr>
          <w:trHeight w:val="300"/>
        </w:trPr>
        <w:tc>
          <w:tcPr>
            <w:tcW w:w="6054" w:type="dxa"/>
            <w:tcBorders>
              <w:top w:val="nil"/>
              <w:left w:val="single" w:sz="4" w:space="0" w:color="auto"/>
              <w:bottom w:val="single" w:sz="4" w:space="0" w:color="auto"/>
              <w:right w:val="nil"/>
            </w:tcBorders>
            <w:shd w:val="clear" w:color="auto" w:fill="auto"/>
            <w:vAlign w:val="center"/>
            <w:hideMark/>
          </w:tcPr>
          <w:p w14:paraId="3D1C36D8" w14:textId="77777777" w:rsidR="00FD3CD4" w:rsidRPr="00F42DC0" w:rsidRDefault="00FD3CD4" w:rsidP="00394B5F">
            <w:pPr>
              <w:rPr>
                <w:rFonts w:cs="Arial"/>
              </w:rPr>
            </w:pPr>
            <w:r w:rsidRPr="00F42DC0">
              <w:rPr>
                <w:rFonts w:cs="Arial"/>
              </w:rPr>
              <w:t>Support the eradic</w:t>
            </w:r>
            <w:r w:rsidRPr="009D548A">
              <w:rPr>
                <w:rFonts w:cs="Arial"/>
              </w:rPr>
              <w:t>a</w:t>
            </w:r>
            <w:r w:rsidRPr="00F42DC0">
              <w:rPr>
                <w:rFonts w:cs="Arial"/>
              </w:rPr>
              <w:t>tion of vehic</w:t>
            </w:r>
            <w:r w:rsidRPr="009D548A">
              <w:rPr>
                <w:rFonts w:cs="Arial"/>
              </w:rPr>
              <w:t>l</w:t>
            </w:r>
            <w:r w:rsidRPr="00F42DC0">
              <w:rPr>
                <w:rFonts w:cs="Arial"/>
              </w:rPr>
              <w:t>e congestion</w:t>
            </w:r>
          </w:p>
        </w:tc>
        <w:tc>
          <w:tcPr>
            <w:tcW w:w="1150" w:type="dxa"/>
            <w:tcBorders>
              <w:top w:val="nil"/>
              <w:left w:val="single" w:sz="4" w:space="0" w:color="auto"/>
              <w:bottom w:val="single" w:sz="4" w:space="0" w:color="auto"/>
              <w:right w:val="single" w:sz="4" w:space="0" w:color="auto"/>
            </w:tcBorders>
            <w:shd w:val="clear" w:color="auto" w:fill="auto"/>
            <w:vAlign w:val="center"/>
            <w:hideMark/>
          </w:tcPr>
          <w:p w14:paraId="7E70C1D9" w14:textId="77777777" w:rsidR="00FD3CD4" w:rsidRPr="00F42DC0" w:rsidRDefault="00FD3CD4" w:rsidP="000206E9">
            <w:pPr>
              <w:jc w:val="center"/>
              <w:rPr>
                <w:rFonts w:cs="Arial"/>
              </w:rPr>
            </w:pPr>
            <w:r w:rsidRPr="00F42DC0">
              <w:rPr>
                <w:rFonts w:cs="Arial"/>
              </w:rPr>
              <w:t>1</w:t>
            </w:r>
          </w:p>
        </w:tc>
        <w:tc>
          <w:tcPr>
            <w:tcW w:w="883" w:type="dxa"/>
            <w:tcBorders>
              <w:top w:val="nil"/>
              <w:left w:val="nil"/>
              <w:bottom w:val="single" w:sz="4" w:space="0" w:color="auto"/>
              <w:right w:val="single" w:sz="4" w:space="0" w:color="auto"/>
            </w:tcBorders>
            <w:shd w:val="clear" w:color="auto" w:fill="auto"/>
            <w:vAlign w:val="center"/>
            <w:hideMark/>
          </w:tcPr>
          <w:p w14:paraId="46C9A9AD" w14:textId="77777777" w:rsidR="00FD3CD4" w:rsidRPr="00F42DC0" w:rsidRDefault="00FD3CD4" w:rsidP="000206E9">
            <w:pPr>
              <w:jc w:val="center"/>
              <w:rPr>
                <w:rFonts w:cs="Arial"/>
              </w:rPr>
            </w:pPr>
            <w:r w:rsidRPr="00F42DC0">
              <w:rPr>
                <w:rFonts w:cs="Arial"/>
              </w:rPr>
              <w:t>0</w:t>
            </w:r>
          </w:p>
        </w:tc>
        <w:tc>
          <w:tcPr>
            <w:tcW w:w="985" w:type="dxa"/>
            <w:tcBorders>
              <w:top w:val="nil"/>
              <w:left w:val="nil"/>
              <w:bottom w:val="single" w:sz="4" w:space="0" w:color="auto"/>
              <w:right w:val="single" w:sz="4" w:space="0" w:color="auto"/>
            </w:tcBorders>
            <w:shd w:val="clear" w:color="auto" w:fill="auto"/>
            <w:vAlign w:val="center"/>
            <w:hideMark/>
          </w:tcPr>
          <w:p w14:paraId="417F37D3" w14:textId="77777777" w:rsidR="00FD3CD4" w:rsidRPr="00F42DC0" w:rsidRDefault="00FC419D" w:rsidP="000206E9">
            <w:pPr>
              <w:jc w:val="center"/>
              <w:rPr>
                <w:rFonts w:cs="Arial"/>
              </w:rPr>
            </w:pPr>
            <w:r>
              <w:rPr>
                <w:rFonts w:cs="Arial"/>
              </w:rPr>
              <w:t>0</w:t>
            </w:r>
          </w:p>
        </w:tc>
      </w:tr>
      <w:tr w:rsidR="00FD3CD4" w:rsidRPr="00F42DC0" w14:paraId="16DBB93D" w14:textId="77777777" w:rsidTr="0021258F">
        <w:trPr>
          <w:trHeight w:val="300"/>
        </w:trPr>
        <w:tc>
          <w:tcPr>
            <w:tcW w:w="6054" w:type="dxa"/>
            <w:tcBorders>
              <w:top w:val="nil"/>
              <w:left w:val="single" w:sz="4" w:space="0" w:color="auto"/>
              <w:bottom w:val="single" w:sz="4" w:space="0" w:color="auto"/>
              <w:right w:val="nil"/>
            </w:tcBorders>
            <w:shd w:val="clear" w:color="auto" w:fill="auto"/>
            <w:vAlign w:val="center"/>
            <w:hideMark/>
          </w:tcPr>
          <w:p w14:paraId="76CDCC59" w14:textId="77777777" w:rsidR="00FD3CD4" w:rsidRPr="00F42DC0" w:rsidRDefault="00FD3CD4" w:rsidP="00394B5F">
            <w:pPr>
              <w:rPr>
                <w:rFonts w:cs="Arial"/>
              </w:rPr>
            </w:pPr>
            <w:r w:rsidRPr="00F42DC0">
              <w:rPr>
                <w:rFonts w:cs="Arial"/>
              </w:rPr>
              <w:t>Support waste recycling</w:t>
            </w:r>
          </w:p>
        </w:tc>
        <w:tc>
          <w:tcPr>
            <w:tcW w:w="1150" w:type="dxa"/>
            <w:tcBorders>
              <w:top w:val="nil"/>
              <w:left w:val="single" w:sz="4" w:space="0" w:color="auto"/>
              <w:bottom w:val="single" w:sz="4" w:space="0" w:color="auto"/>
              <w:right w:val="single" w:sz="4" w:space="0" w:color="auto"/>
            </w:tcBorders>
            <w:shd w:val="clear" w:color="auto" w:fill="auto"/>
            <w:vAlign w:val="center"/>
            <w:hideMark/>
          </w:tcPr>
          <w:p w14:paraId="502556E3" w14:textId="77777777" w:rsidR="00FD3CD4" w:rsidRPr="00F42DC0" w:rsidRDefault="00FD3CD4" w:rsidP="000206E9">
            <w:pPr>
              <w:jc w:val="center"/>
              <w:rPr>
                <w:rFonts w:cs="Arial"/>
              </w:rPr>
            </w:pPr>
            <w:r w:rsidRPr="00F42DC0">
              <w:rPr>
                <w:rFonts w:cs="Arial"/>
              </w:rPr>
              <w:t>0</w:t>
            </w:r>
          </w:p>
        </w:tc>
        <w:tc>
          <w:tcPr>
            <w:tcW w:w="883" w:type="dxa"/>
            <w:tcBorders>
              <w:top w:val="nil"/>
              <w:left w:val="nil"/>
              <w:bottom w:val="single" w:sz="4" w:space="0" w:color="auto"/>
              <w:right w:val="single" w:sz="4" w:space="0" w:color="auto"/>
            </w:tcBorders>
            <w:shd w:val="clear" w:color="auto" w:fill="auto"/>
            <w:vAlign w:val="center"/>
            <w:hideMark/>
          </w:tcPr>
          <w:p w14:paraId="43831350" w14:textId="77777777" w:rsidR="00FD3CD4" w:rsidRPr="00F42DC0" w:rsidRDefault="00FD3CD4" w:rsidP="000206E9">
            <w:pPr>
              <w:jc w:val="center"/>
              <w:rPr>
                <w:rFonts w:cs="Arial"/>
              </w:rPr>
            </w:pPr>
            <w:r w:rsidRPr="00F42DC0">
              <w:rPr>
                <w:rFonts w:cs="Arial"/>
              </w:rPr>
              <w:t>1</w:t>
            </w:r>
          </w:p>
        </w:tc>
        <w:tc>
          <w:tcPr>
            <w:tcW w:w="985" w:type="dxa"/>
            <w:tcBorders>
              <w:top w:val="nil"/>
              <w:left w:val="nil"/>
              <w:bottom w:val="single" w:sz="4" w:space="0" w:color="auto"/>
              <w:right w:val="single" w:sz="4" w:space="0" w:color="auto"/>
            </w:tcBorders>
            <w:shd w:val="clear" w:color="auto" w:fill="auto"/>
            <w:vAlign w:val="center"/>
            <w:hideMark/>
          </w:tcPr>
          <w:p w14:paraId="1688BD88" w14:textId="77777777" w:rsidR="00FD3CD4" w:rsidRPr="00F42DC0" w:rsidRDefault="00FC419D" w:rsidP="000206E9">
            <w:pPr>
              <w:jc w:val="center"/>
              <w:rPr>
                <w:rFonts w:cs="Arial"/>
              </w:rPr>
            </w:pPr>
            <w:r>
              <w:rPr>
                <w:rFonts w:cs="Arial"/>
              </w:rPr>
              <w:t>0</w:t>
            </w:r>
          </w:p>
        </w:tc>
      </w:tr>
      <w:tr w:rsidR="00FD3CD4" w:rsidRPr="00F42DC0" w14:paraId="4F148308" w14:textId="77777777" w:rsidTr="0021258F">
        <w:trPr>
          <w:trHeight w:val="300"/>
        </w:trPr>
        <w:tc>
          <w:tcPr>
            <w:tcW w:w="6054" w:type="dxa"/>
            <w:tcBorders>
              <w:top w:val="nil"/>
              <w:left w:val="single" w:sz="4" w:space="0" w:color="auto"/>
              <w:bottom w:val="single" w:sz="4" w:space="0" w:color="auto"/>
              <w:right w:val="nil"/>
            </w:tcBorders>
            <w:shd w:val="clear" w:color="auto" w:fill="auto"/>
            <w:vAlign w:val="center"/>
            <w:hideMark/>
          </w:tcPr>
          <w:p w14:paraId="065E20CC" w14:textId="77777777" w:rsidR="00FD3CD4" w:rsidRPr="00F42DC0" w:rsidRDefault="00FD3CD4" w:rsidP="00394B5F">
            <w:pPr>
              <w:rPr>
                <w:rFonts w:cs="Arial"/>
              </w:rPr>
            </w:pPr>
            <w:r w:rsidRPr="00F42DC0">
              <w:rPr>
                <w:rFonts w:cs="Arial"/>
              </w:rPr>
              <w:t>Use enviro</w:t>
            </w:r>
            <w:r w:rsidRPr="009D548A">
              <w:rPr>
                <w:rFonts w:cs="Arial"/>
              </w:rPr>
              <w:t>n</w:t>
            </w:r>
            <w:r w:rsidRPr="00F42DC0">
              <w:rPr>
                <w:rFonts w:cs="Arial"/>
              </w:rPr>
              <w:t>mental friendly packaging</w:t>
            </w:r>
          </w:p>
        </w:tc>
        <w:tc>
          <w:tcPr>
            <w:tcW w:w="1150" w:type="dxa"/>
            <w:tcBorders>
              <w:top w:val="nil"/>
              <w:left w:val="single" w:sz="4" w:space="0" w:color="auto"/>
              <w:bottom w:val="single" w:sz="4" w:space="0" w:color="auto"/>
              <w:right w:val="single" w:sz="4" w:space="0" w:color="auto"/>
            </w:tcBorders>
            <w:shd w:val="clear" w:color="auto" w:fill="auto"/>
            <w:vAlign w:val="center"/>
            <w:hideMark/>
          </w:tcPr>
          <w:p w14:paraId="641CD819" w14:textId="77777777" w:rsidR="00FD3CD4" w:rsidRPr="00F42DC0" w:rsidRDefault="00FD3CD4" w:rsidP="000206E9">
            <w:pPr>
              <w:jc w:val="center"/>
              <w:rPr>
                <w:rFonts w:cs="Arial"/>
              </w:rPr>
            </w:pPr>
            <w:r w:rsidRPr="00F42DC0">
              <w:rPr>
                <w:rFonts w:cs="Arial"/>
              </w:rPr>
              <w:t>1</w:t>
            </w:r>
          </w:p>
        </w:tc>
        <w:tc>
          <w:tcPr>
            <w:tcW w:w="883" w:type="dxa"/>
            <w:tcBorders>
              <w:top w:val="nil"/>
              <w:left w:val="nil"/>
              <w:bottom w:val="single" w:sz="4" w:space="0" w:color="auto"/>
              <w:right w:val="single" w:sz="4" w:space="0" w:color="auto"/>
            </w:tcBorders>
            <w:shd w:val="clear" w:color="auto" w:fill="auto"/>
            <w:vAlign w:val="center"/>
            <w:hideMark/>
          </w:tcPr>
          <w:p w14:paraId="419B1471" w14:textId="77777777" w:rsidR="00FD3CD4" w:rsidRPr="00F42DC0" w:rsidRDefault="00FD3CD4" w:rsidP="000206E9">
            <w:pPr>
              <w:jc w:val="center"/>
              <w:rPr>
                <w:rFonts w:cs="Arial"/>
              </w:rPr>
            </w:pPr>
            <w:r w:rsidRPr="00F42DC0">
              <w:rPr>
                <w:rFonts w:cs="Arial"/>
              </w:rPr>
              <w:t>0</w:t>
            </w:r>
          </w:p>
        </w:tc>
        <w:tc>
          <w:tcPr>
            <w:tcW w:w="985" w:type="dxa"/>
            <w:tcBorders>
              <w:top w:val="nil"/>
              <w:left w:val="nil"/>
              <w:bottom w:val="single" w:sz="4" w:space="0" w:color="auto"/>
              <w:right w:val="single" w:sz="4" w:space="0" w:color="auto"/>
            </w:tcBorders>
            <w:shd w:val="clear" w:color="auto" w:fill="auto"/>
            <w:vAlign w:val="center"/>
            <w:hideMark/>
          </w:tcPr>
          <w:p w14:paraId="756C1953" w14:textId="77777777" w:rsidR="00FD3CD4" w:rsidRPr="00F42DC0" w:rsidRDefault="00FC419D" w:rsidP="000206E9">
            <w:pPr>
              <w:jc w:val="center"/>
              <w:rPr>
                <w:rFonts w:cs="Arial"/>
              </w:rPr>
            </w:pPr>
            <w:r>
              <w:rPr>
                <w:rFonts w:cs="Arial"/>
              </w:rPr>
              <w:t>0</w:t>
            </w:r>
          </w:p>
        </w:tc>
      </w:tr>
      <w:tr w:rsidR="00FD3CD4" w:rsidRPr="00F42DC0" w14:paraId="1FC50406" w14:textId="77777777" w:rsidTr="0021258F">
        <w:trPr>
          <w:trHeight w:val="300"/>
        </w:trPr>
        <w:tc>
          <w:tcPr>
            <w:tcW w:w="6054" w:type="dxa"/>
            <w:tcBorders>
              <w:top w:val="nil"/>
              <w:left w:val="nil"/>
              <w:bottom w:val="nil"/>
              <w:right w:val="nil"/>
            </w:tcBorders>
            <w:shd w:val="clear" w:color="auto" w:fill="auto"/>
            <w:vAlign w:val="bottom"/>
            <w:hideMark/>
          </w:tcPr>
          <w:p w14:paraId="60F3A9BD" w14:textId="77777777" w:rsidR="00FD3CD4" w:rsidRPr="00F42DC0" w:rsidRDefault="00FD3CD4" w:rsidP="00394B5F">
            <w:pPr>
              <w:jc w:val="center"/>
              <w:rPr>
                <w:rFonts w:cs="Arial"/>
                <w:b/>
                <w:bCs/>
              </w:rPr>
            </w:pPr>
          </w:p>
        </w:tc>
        <w:tc>
          <w:tcPr>
            <w:tcW w:w="1150" w:type="dxa"/>
            <w:tcBorders>
              <w:top w:val="nil"/>
              <w:left w:val="single" w:sz="4" w:space="0" w:color="auto"/>
              <w:bottom w:val="single" w:sz="4" w:space="0" w:color="auto"/>
              <w:right w:val="single" w:sz="4" w:space="0" w:color="auto"/>
            </w:tcBorders>
            <w:shd w:val="clear" w:color="auto" w:fill="auto"/>
            <w:vAlign w:val="bottom"/>
            <w:hideMark/>
          </w:tcPr>
          <w:p w14:paraId="7EC39DB5" w14:textId="77777777" w:rsidR="00FD3CD4" w:rsidRPr="00F42DC0" w:rsidRDefault="00FD3CD4" w:rsidP="000206E9">
            <w:pPr>
              <w:jc w:val="center"/>
              <w:rPr>
                <w:rFonts w:cs="Arial"/>
                <w:b/>
                <w:bCs/>
              </w:rPr>
            </w:pPr>
            <w:r w:rsidRPr="00F42DC0">
              <w:rPr>
                <w:rFonts w:cs="Arial"/>
                <w:b/>
                <w:bCs/>
              </w:rPr>
              <w:t>27</w:t>
            </w:r>
          </w:p>
        </w:tc>
        <w:tc>
          <w:tcPr>
            <w:tcW w:w="883" w:type="dxa"/>
            <w:tcBorders>
              <w:top w:val="nil"/>
              <w:left w:val="nil"/>
              <w:bottom w:val="single" w:sz="4" w:space="0" w:color="auto"/>
              <w:right w:val="single" w:sz="4" w:space="0" w:color="auto"/>
            </w:tcBorders>
            <w:shd w:val="clear" w:color="auto" w:fill="auto"/>
            <w:vAlign w:val="bottom"/>
            <w:hideMark/>
          </w:tcPr>
          <w:p w14:paraId="31863818" w14:textId="77777777" w:rsidR="00FD3CD4" w:rsidRPr="00F42DC0" w:rsidRDefault="00FD3CD4" w:rsidP="000206E9">
            <w:pPr>
              <w:jc w:val="center"/>
              <w:rPr>
                <w:rFonts w:cs="Arial"/>
                <w:b/>
                <w:bCs/>
              </w:rPr>
            </w:pPr>
            <w:r w:rsidRPr="00F42DC0">
              <w:rPr>
                <w:rFonts w:cs="Arial"/>
                <w:b/>
                <w:bCs/>
              </w:rPr>
              <w:t>36</w:t>
            </w:r>
          </w:p>
        </w:tc>
        <w:tc>
          <w:tcPr>
            <w:tcW w:w="985" w:type="dxa"/>
            <w:tcBorders>
              <w:top w:val="nil"/>
              <w:left w:val="nil"/>
              <w:bottom w:val="single" w:sz="4" w:space="0" w:color="auto"/>
              <w:right w:val="single" w:sz="4" w:space="0" w:color="auto"/>
            </w:tcBorders>
            <w:shd w:val="clear" w:color="auto" w:fill="auto"/>
            <w:vAlign w:val="bottom"/>
            <w:hideMark/>
          </w:tcPr>
          <w:p w14:paraId="0522B6A1" w14:textId="77777777" w:rsidR="00FD3CD4" w:rsidRPr="00F42DC0" w:rsidRDefault="00FD3CD4" w:rsidP="000206E9">
            <w:pPr>
              <w:jc w:val="center"/>
              <w:rPr>
                <w:rFonts w:cs="Arial"/>
                <w:b/>
                <w:bCs/>
              </w:rPr>
            </w:pPr>
            <w:r w:rsidRPr="00F42DC0">
              <w:rPr>
                <w:rFonts w:cs="Arial"/>
                <w:b/>
                <w:bCs/>
              </w:rPr>
              <w:t>12</w:t>
            </w:r>
          </w:p>
        </w:tc>
      </w:tr>
    </w:tbl>
    <w:p w14:paraId="6438233C" w14:textId="77777777" w:rsidR="00FD3CD4" w:rsidRDefault="00FD3CD4" w:rsidP="00FD3CD4">
      <w:pPr>
        <w:rPr>
          <w:u w:val="single"/>
        </w:rPr>
      </w:pPr>
    </w:p>
    <w:p w14:paraId="58AC9275" w14:textId="77777777" w:rsidR="000D01CD" w:rsidRDefault="007022DA" w:rsidP="00C90068">
      <w:pPr>
        <w:ind w:left="720" w:hanging="720"/>
      </w:pPr>
      <w:r>
        <w:t xml:space="preserve">3.6 </w:t>
      </w:r>
      <w:r w:rsidR="00C90068">
        <w:tab/>
      </w:r>
      <w:r w:rsidR="000D01CD">
        <w:t xml:space="preserve">The Council is not at liberty to legally enforce </w:t>
      </w:r>
      <w:r w:rsidR="001F246A">
        <w:t>the payment of the Oxford Living Wage</w:t>
      </w:r>
      <w:r w:rsidR="005A0F5E">
        <w:t>. The Council has recently introduced a Self</w:t>
      </w:r>
      <w:r w:rsidR="00CE582F">
        <w:t>-</w:t>
      </w:r>
      <w:r w:rsidR="005A0F5E">
        <w:t xml:space="preserve">Certification Scheme for suppliers to sign up that they pay the Oxford Living Wage and there are currently around 20 suppliers who have done so. </w:t>
      </w:r>
      <w:r w:rsidR="001F246A">
        <w:t xml:space="preserve"> </w:t>
      </w:r>
      <w:r w:rsidR="005A0F5E">
        <w:t>Whilst this is not a specific requirement for a supplier to self</w:t>
      </w:r>
      <w:r w:rsidR="00CE582F">
        <w:t>-</w:t>
      </w:r>
      <w:r w:rsidR="005A0F5E">
        <w:t>certify currently, this will be introduced as</w:t>
      </w:r>
      <w:r w:rsidR="001F246A">
        <w:t xml:space="preserve"> an improvement for 2020</w:t>
      </w:r>
      <w:r w:rsidR="00B77072">
        <w:t>.</w:t>
      </w:r>
    </w:p>
    <w:p w14:paraId="6F7B6E4A" w14:textId="77777777" w:rsidR="00C5644D" w:rsidRDefault="007022DA" w:rsidP="00C90068">
      <w:pPr>
        <w:ind w:left="720" w:hanging="720"/>
      </w:pPr>
      <w:r>
        <w:t xml:space="preserve">3.7 </w:t>
      </w:r>
      <w:r w:rsidR="00C90068">
        <w:tab/>
      </w:r>
      <w:r w:rsidR="00FD3CD4" w:rsidRPr="000D01CD">
        <w:t xml:space="preserve">It should be noted </w:t>
      </w:r>
      <w:r w:rsidR="00C5644D">
        <w:t>there are no</w:t>
      </w:r>
      <w:r w:rsidR="00FD3CD4" w:rsidRPr="000D01CD">
        <w:t xml:space="preserve"> </w:t>
      </w:r>
      <w:r w:rsidR="00C5644D">
        <w:t>specific government guidelines</w:t>
      </w:r>
      <w:r w:rsidR="00FD3CD4" w:rsidRPr="000D01CD">
        <w:t xml:space="preserve"> to </w:t>
      </w:r>
      <w:r w:rsidR="00C5644D">
        <w:t>measuring</w:t>
      </w:r>
      <w:r w:rsidR="000D01CD">
        <w:t xml:space="preserve"> the value of </w:t>
      </w:r>
      <w:r w:rsidR="00FD3CD4" w:rsidRPr="000D01CD">
        <w:t xml:space="preserve">social value offered by different </w:t>
      </w:r>
      <w:r w:rsidR="000206E9" w:rsidRPr="000D01CD">
        <w:t>organisations</w:t>
      </w:r>
      <w:r w:rsidR="00C5644D">
        <w:t>,</w:t>
      </w:r>
      <w:r w:rsidR="000D01CD">
        <w:t xml:space="preserve"> therefore in this initial phase of introducing an element of social value into our procurement process</w:t>
      </w:r>
      <w:r w:rsidR="00C5644D">
        <w:t>, m</w:t>
      </w:r>
      <w:r w:rsidR="000D01CD">
        <w:t xml:space="preserve">uch of what has been put forward can only be checked through appropriate contract monitoring </w:t>
      </w:r>
      <w:r w:rsidR="00FD3CD4" w:rsidRPr="000D01CD">
        <w:t>by purchasing managers</w:t>
      </w:r>
      <w:r w:rsidR="000D01CD">
        <w:t xml:space="preserve"> once the contract has been awarded</w:t>
      </w:r>
      <w:r w:rsidR="00FD3CD4" w:rsidRPr="000D01CD">
        <w:t xml:space="preserve">. </w:t>
      </w:r>
      <w:r w:rsidR="00C5644D">
        <w:t xml:space="preserve">In 2020 contract management training </w:t>
      </w:r>
      <w:r w:rsidR="00B51F4E">
        <w:t xml:space="preserve">is </w:t>
      </w:r>
      <w:r w:rsidR="00371FEF">
        <w:t xml:space="preserve">to be undertaken by the Procurement Team </w:t>
      </w:r>
      <w:r w:rsidR="00B51F4E">
        <w:t xml:space="preserve">and </w:t>
      </w:r>
      <w:r w:rsidR="00C5644D">
        <w:t>will address the Councils Social Value objectives such as:</w:t>
      </w:r>
    </w:p>
    <w:p w14:paraId="6D42FA47" w14:textId="77777777" w:rsidR="00FD3CD4" w:rsidRDefault="00C5644D" w:rsidP="00C5644D">
      <w:pPr>
        <w:pStyle w:val="ListParagraph"/>
        <w:numPr>
          <w:ilvl w:val="0"/>
          <w:numId w:val="18"/>
        </w:numPr>
      </w:pPr>
      <w:r>
        <w:t>realising Social Value proposals</w:t>
      </w:r>
    </w:p>
    <w:p w14:paraId="3D885720" w14:textId="77777777" w:rsidR="00C5644D" w:rsidRDefault="00C5644D" w:rsidP="00C5644D">
      <w:pPr>
        <w:pStyle w:val="ListParagraph"/>
        <w:numPr>
          <w:ilvl w:val="0"/>
          <w:numId w:val="18"/>
        </w:numPr>
      </w:pPr>
      <w:r>
        <w:t>supporting the Oxford Living Wage scheme</w:t>
      </w:r>
    </w:p>
    <w:p w14:paraId="32833EAB" w14:textId="77777777" w:rsidR="00C5644D" w:rsidRDefault="00C5644D" w:rsidP="00C5644D">
      <w:pPr>
        <w:pStyle w:val="ListParagraph"/>
        <w:numPr>
          <w:ilvl w:val="0"/>
          <w:numId w:val="18"/>
        </w:numPr>
      </w:pPr>
      <w:r>
        <w:t xml:space="preserve">annual check on </w:t>
      </w:r>
      <w:r w:rsidR="00B51F4E">
        <w:t xml:space="preserve">the Council’s </w:t>
      </w:r>
      <w:r w:rsidR="00CE582F">
        <w:t xml:space="preserve">suppliers </w:t>
      </w:r>
      <w:r w:rsidR="00B51F4E">
        <w:t xml:space="preserve">on </w:t>
      </w:r>
      <w:r w:rsidR="00CE582F">
        <w:t xml:space="preserve">their </w:t>
      </w:r>
      <w:r>
        <w:t>Modern Slavery Act Statement</w:t>
      </w:r>
      <w:r w:rsidR="00B51F4E">
        <w:t>s</w:t>
      </w:r>
    </w:p>
    <w:p w14:paraId="7007EA01" w14:textId="77777777" w:rsidR="00CF21C0" w:rsidRPr="000D01CD" w:rsidRDefault="00CF21C0" w:rsidP="00FD3CD4"/>
    <w:p w14:paraId="7AA917EE" w14:textId="77777777" w:rsidR="00FD3CD4" w:rsidRPr="007022DA" w:rsidRDefault="000D01CD" w:rsidP="00DC3923">
      <w:pPr>
        <w:pStyle w:val="Heading1"/>
      </w:pPr>
      <w:r w:rsidRPr="007022DA">
        <w:t>Conducting Business with SME’s and local suppliers</w:t>
      </w:r>
    </w:p>
    <w:p w14:paraId="4407F122" w14:textId="77777777" w:rsidR="00CF21C0" w:rsidRDefault="007022DA" w:rsidP="00C90068">
      <w:pPr>
        <w:spacing w:before="180" w:after="180"/>
        <w:ind w:left="720" w:hanging="720"/>
      </w:pPr>
      <w:r>
        <w:t xml:space="preserve">4.1 </w:t>
      </w:r>
      <w:r w:rsidR="00C90068">
        <w:tab/>
      </w:r>
      <w:r w:rsidR="000D01CD">
        <w:t>Since Social Value is concerned with local communities it follows that undertaking business with local suppliers and indeed</w:t>
      </w:r>
      <w:r w:rsidR="00CE582F">
        <w:t>,</w:t>
      </w:r>
      <w:r w:rsidR="000D01CD">
        <w:t xml:space="preserve"> S</w:t>
      </w:r>
      <w:r w:rsidR="00371FEF">
        <w:t xml:space="preserve">mall and </w:t>
      </w:r>
      <w:r w:rsidR="000D01CD">
        <w:t>M</w:t>
      </w:r>
      <w:r w:rsidR="00371FEF">
        <w:t xml:space="preserve">edium sized </w:t>
      </w:r>
      <w:r w:rsidR="000D01CD">
        <w:t>E</w:t>
      </w:r>
      <w:r w:rsidR="00371FEF">
        <w:t>nterprises</w:t>
      </w:r>
      <w:r w:rsidR="00CE582F">
        <w:t xml:space="preserve"> </w:t>
      </w:r>
      <w:r w:rsidR="00371FEF">
        <w:t xml:space="preserve">(SME’s) </w:t>
      </w:r>
      <w:r w:rsidR="000D01CD">
        <w:t xml:space="preserve">would add to the Councils embedding of social value. </w:t>
      </w:r>
    </w:p>
    <w:p w14:paraId="7FBA7FF0" w14:textId="77777777" w:rsidR="00CF21C0" w:rsidRDefault="007022DA" w:rsidP="00C90068">
      <w:pPr>
        <w:spacing w:before="180" w:after="180"/>
        <w:ind w:left="720" w:hanging="720"/>
        <w:rPr>
          <w:spacing w:val="4"/>
          <w:lang w:val="en"/>
        </w:rPr>
      </w:pPr>
      <w:r>
        <w:rPr>
          <w:spacing w:val="4"/>
          <w:lang w:val="en"/>
        </w:rPr>
        <w:t xml:space="preserve">4.2 </w:t>
      </w:r>
      <w:r w:rsidR="00C90068">
        <w:rPr>
          <w:spacing w:val="4"/>
          <w:lang w:val="en"/>
        </w:rPr>
        <w:tab/>
      </w:r>
      <w:r w:rsidR="00CF21C0" w:rsidRPr="00E576AF">
        <w:rPr>
          <w:spacing w:val="4"/>
          <w:lang w:val="en"/>
        </w:rPr>
        <w:t>What is a</w:t>
      </w:r>
      <w:r w:rsidR="00371FEF">
        <w:rPr>
          <w:spacing w:val="4"/>
          <w:lang w:val="en"/>
        </w:rPr>
        <w:t>n</w:t>
      </w:r>
      <w:r w:rsidR="00CF21C0" w:rsidRPr="00E576AF">
        <w:rPr>
          <w:spacing w:val="4"/>
          <w:lang w:val="en"/>
        </w:rPr>
        <w:t xml:space="preserve"> SME?  The UK government follows the EU’s definition of SMEs, and to qualify as an SME, there are two criteria: staff headcount of between one and 250, and an annual turnover of no more than €50 millio</w:t>
      </w:r>
      <w:r w:rsidR="00CF21C0">
        <w:rPr>
          <w:spacing w:val="4"/>
          <w:lang w:val="en"/>
        </w:rPr>
        <w:t>n (approximately £45 million). </w:t>
      </w:r>
      <w:r w:rsidR="00CF21C0" w:rsidRPr="00E576AF">
        <w:rPr>
          <w:spacing w:val="4"/>
          <w:lang w:val="en"/>
        </w:rPr>
        <w:t xml:space="preserve">The </w:t>
      </w:r>
      <w:r w:rsidR="00B51F4E">
        <w:rPr>
          <w:spacing w:val="4"/>
          <w:lang w:val="en"/>
        </w:rPr>
        <w:t xml:space="preserve">current target for </w:t>
      </w:r>
      <w:r w:rsidR="00CF21C0" w:rsidRPr="00E576AF">
        <w:rPr>
          <w:spacing w:val="4"/>
          <w:lang w:val="en"/>
        </w:rPr>
        <w:t xml:space="preserve">Government </w:t>
      </w:r>
      <w:proofErr w:type="gramStart"/>
      <w:r w:rsidR="00B51F4E">
        <w:rPr>
          <w:spacing w:val="4"/>
          <w:lang w:val="en"/>
        </w:rPr>
        <w:t>spend</w:t>
      </w:r>
      <w:proofErr w:type="gramEnd"/>
      <w:r w:rsidR="00B51F4E">
        <w:rPr>
          <w:spacing w:val="4"/>
          <w:lang w:val="en"/>
        </w:rPr>
        <w:t xml:space="preserve"> with </w:t>
      </w:r>
      <w:r w:rsidR="00CF21C0">
        <w:rPr>
          <w:spacing w:val="4"/>
          <w:lang w:val="en"/>
        </w:rPr>
        <w:t>SME</w:t>
      </w:r>
      <w:r w:rsidR="00B51F4E">
        <w:rPr>
          <w:spacing w:val="4"/>
          <w:lang w:val="en"/>
        </w:rPr>
        <w:t>s</w:t>
      </w:r>
      <w:r w:rsidR="00904BDA">
        <w:rPr>
          <w:spacing w:val="4"/>
          <w:lang w:val="en"/>
        </w:rPr>
        <w:t xml:space="preserve"> </w:t>
      </w:r>
      <w:r w:rsidR="00CF21C0" w:rsidRPr="00E576AF">
        <w:rPr>
          <w:spacing w:val="4"/>
          <w:lang w:val="en"/>
        </w:rPr>
        <w:t>is 33%</w:t>
      </w:r>
      <w:r w:rsidR="00B51F4E">
        <w:rPr>
          <w:spacing w:val="4"/>
          <w:lang w:val="en"/>
        </w:rPr>
        <w:t xml:space="preserve"> by the end of the current Parliament in March 2022, a revision of the end date of 2020.</w:t>
      </w:r>
    </w:p>
    <w:p w14:paraId="30CB0B2E" w14:textId="77777777" w:rsidR="00A65287" w:rsidRPr="00A65287" w:rsidRDefault="00A65287" w:rsidP="00A65287">
      <w:pPr>
        <w:spacing w:after="0"/>
        <w:rPr>
          <w:color w:val="auto"/>
          <w:spacing w:val="4"/>
          <w:lang w:val="en"/>
        </w:rPr>
      </w:pPr>
      <w:r>
        <w:rPr>
          <w:spacing w:val="4"/>
          <w:lang w:val="en"/>
        </w:rPr>
        <w:t xml:space="preserve">4.3 </w:t>
      </w:r>
      <w:r w:rsidR="00C90068">
        <w:rPr>
          <w:spacing w:val="4"/>
          <w:lang w:val="en"/>
        </w:rPr>
        <w:tab/>
      </w:r>
      <w:r w:rsidRPr="00A65287">
        <w:rPr>
          <w:spacing w:val="4"/>
          <w:lang w:val="en"/>
        </w:rPr>
        <w:t xml:space="preserve">The Council report into </w:t>
      </w:r>
      <w:proofErr w:type="spellStart"/>
      <w:r w:rsidRPr="00A65287">
        <w:rPr>
          <w:spacing w:val="4"/>
          <w:lang w:val="en"/>
        </w:rPr>
        <w:t>Corvu</w:t>
      </w:r>
      <w:proofErr w:type="spellEnd"/>
      <w:r w:rsidRPr="00A65287">
        <w:rPr>
          <w:spacing w:val="4"/>
          <w:lang w:val="en"/>
        </w:rPr>
        <w:t xml:space="preserve"> on the percentage of spend with </w:t>
      </w:r>
      <w:r w:rsidRPr="00A65287">
        <w:rPr>
          <w:color w:val="auto"/>
          <w:spacing w:val="4"/>
          <w:lang w:val="en"/>
        </w:rPr>
        <w:t xml:space="preserve">national and </w:t>
      </w:r>
    </w:p>
    <w:p w14:paraId="7878BA40" w14:textId="77777777" w:rsidR="00125C94" w:rsidRDefault="00A65287" w:rsidP="000C07B1">
      <w:pPr>
        <w:spacing w:after="0"/>
        <w:ind w:left="720"/>
        <w:rPr>
          <w:spacing w:val="4"/>
          <w:lang w:val="en"/>
        </w:rPr>
      </w:pPr>
      <w:proofErr w:type="gramStart"/>
      <w:r w:rsidRPr="00A65287">
        <w:rPr>
          <w:color w:val="auto"/>
          <w:spacing w:val="4"/>
          <w:lang w:val="en"/>
        </w:rPr>
        <w:t>local</w:t>
      </w:r>
      <w:proofErr w:type="gramEnd"/>
      <w:r w:rsidRPr="00A65287">
        <w:rPr>
          <w:color w:val="auto"/>
          <w:spacing w:val="4"/>
          <w:lang w:val="en"/>
        </w:rPr>
        <w:t xml:space="preserve"> SMEs used per month</w:t>
      </w:r>
      <w:r w:rsidR="00D22857">
        <w:rPr>
          <w:color w:val="auto"/>
          <w:spacing w:val="4"/>
          <w:lang w:val="en"/>
        </w:rPr>
        <w:t>.  A</w:t>
      </w:r>
      <w:r w:rsidR="00CB71BE" w:rsidRPr="00A65287">
        <w:rPr>
          <w:color w:val="auto"/>
          <w:spacing w:val="4"/>
          <w:lang w:val="en"/>
        </w:rPr>
        <w:t xml:space="preserve">s of December 2019 </w:t>
      </w:r>
      <w:r w:rsidRPr="00A65287">
        <w:rPr>
          <w:color w:val="auto"/>
          <w:spacing w:val="4"/>
          <w:lang w:val="en"/>
        </w:rPr>
        <w:t>the target for the Council’s SME spend wa</w:t>
      </w:r>
      <w:r w:rsidRPr="00A65287">
        <w:rPr>
          <w:color w:val="1F497D"/>
          <w:spacing w:val="4"/>
          <w:lang w:val="en"/>
        </w:rPr>
        <w:t>s</w:t>
      </w:r>
      <w:r w:rsidRPr="00A65287">
        <w:rPr>
          <w:spacing w:val="4"/>
          <w:lang w:val="en"/>
        </w:rPr>
        <w:t xml:space="preserve"> set at 28.53%</w:t>
      </w:r>
      <w:r w:rsidRPr="00A65287">
        <w:rPr>
          <w:color w:val="1F497D"/>
          <w:spacing w:val="4"/>
          <w:lang w:val="en"/>
        </w:rPr>
        <w:t xml:space="preserve"> </w:t>
      </w:r>
      <w:r w:rsidRPr="00A65287">
        <w:rPr>
          <w:spacing w:val="4"/>
          <w:lang w:val="en"/>
        </w:rPr>
        <w:t xml:space="preserve">(taken from </w:t>
      </w:r>
      <w:proofErr w:type="spellStart"/>
      <w:r w:rsidRPr="00A65287">
        <w:rPr>
          <w:spacing w:val="4"/>
          <w:lang w:val="en"/>
        </w:rPr>
        <w:t>Corvu</w:t>
      </w:r>
      <w:proofErr w:type="spellEnd"/>
      <w:r w:rsidRPr="00A65287">
        <w:rPr>
          <w:spacing w:val="4"/>
          <w:lang w:val="en"/>
        </w:rPr>
        <w:t xml:space="preserve"> measure FN052). </w:t>
      </w:r>
    </w:p>
    <w:p w14:paraId="4A8E2196" w14:textId="77777777" w:rsidR="00125C94" w:rsidRDefault="00125C94" w:rsidP="00C90068">
      <w:pPr>
        <w:spacing w:after="0"/>
        <w:ind w:left="720" w:firstLine="70"/>
        <w:rPr>
          <w:spacing w:val="4"/>
          <w:lang w:val="en"/>
        </w:rPr>
      </w:pPr>
    </w:p>
    <w:p w14:paraId="49AB468B" w14:textId="77777777" w:rsidR="00E62F2F" w:rsidRDefault="000C07B1" w:rsidP="00CD0B14">
      <w:pPr>
        <w:spacing w:after="0"/>
        <w:ind w:left="720"/>
        <w:rPr>
          <w:color w:val="auto"/>
          <w:spacing w:val="4"/>
          <w:lang w:val="en"/>
        </w:rPr>
      </w:pPr>
      <w:r>
        <w:rPr>
          <w:spacing w:val="4"/>
          <w:lang w:val="en"/>
        </w:rPr>
        <w:t>S</w:t>
      </w:r>
      <w:r w:rsidR="00A65287" w:rsidRPr="00A65287">
        <w:rPr>
          <w:spacing w:val="4"/>
          <w:lang w:val="en"/>
        </w:rPr>
        <w:t>pend</w:t>
      </w:r>
      <w:r w:rsidR="00C90068">
        <w:rPr>
          <w:spacing w:val="4"/>
          <w:lang w:val="en"/>
        </w:rPr>
        <w:t xml:space="preserve"> </w:t>
      </w:r>
      <w:r w:rsidR="00A65287" w:rsidRPr="00A65287">
        <w:rPr>
          <w:spacing w:val="4"/>
          <w:lang w:val="en"/>
        </w:rPr>
        <w:t xml:space="preserve">for </w:t>
      </w:r>
      <w:r w:rsidR="00125C94">
        <w:rPr>
          <w:spacing w:val="4"/>
          <w:lang w:val="en"/>
        </w:rPr>
        <w:t xml:space="preserve">OCC (excluding ODSL, ODST and OCHL) from January </w:t>
      </w:r>
      <w:r w:rsidR="00A65287" w:rsidRPr="00A65287">
        <w:rPr>
          <w:spacing w:val="4"/>
          <w:lang w:val="en"/>
        </w:rPr>
        <w:t xml:space="preserve">2019 </w:t>
      </w:r>
      <w:r w:rsidR="00125C94">
        <w:rPr>
          <w:spacing w:val="4"/>
          <w:lang w:val="en"/>
        </w:rPr>
        <w:t xml:space="preserve">to December 2019 </w:t>
      </w:r>
      <w:r w:rsidR="00A65287" w:rsidRPr="00A65287">
        <w:rPr>
          <w:spacing w:val="4"/>
          <w:lang w:val="en"/>
        </w:rPr>
        <w:t>was £</w:t>
      </w:r>
      <w:r w:rsidRPr="00A65287">
        <w:rPr>
          <w:spacing w:val="4"/>
          <w:lang w:val="en"/>
        </w:rPr>
        <w:t>33,455,562.43.</w:t>
      </w:r>
    </w:p>
    <w:p w14:paraId="4ABE0E2C" w14:textId="77777777" w:rsidR="00E62F2F" w:rsidRDefault="00E62F2F" w:rsidP="00C90068">
      <w:pPr>
        <w:spacing w:after="0"/>
        <w:ind w:left="720" w:firstLine="70"/>
        <w:rPr>
          <w:color w:val="auto"/>
          <w:spacing w:val="4"/>
          <w:lang w:val="en"/>
        </w:rPr>
      </w:pPr>
    </w:p>
    <w:p w14:paraId="7832995A" w14:textId="77777777" w:rsidR="00A65287" w:rsidRDefault="00125C94" w:rsidP="00D22857">
      <w:pPr>
        <w:spacing w:after="0"/>
        <w:ind w:left="720"/>
        <w:rPr>
          <w:rFonts w:ascii="Times New Roman" w:hAnsi="Times New Roman"/>
          <w:color w:val="auto"/>
        </w:rPr>
      </w:pPr>
      <w:r>
        <w:rPr>
          <w:spacing w:val="4"/>
          <w:lang w:val="en"/>
        </w:rPr>
        <w:t>F</w:t>
      </w:r>
      <w:r w:rsidR="00A65287" w:rsidRPr="00A65287">
        <w:rPr>
          <w:spacing w:val="4"/>
          <w:lang w:val="en"/>
        </w:rPr>
        <w:t xml:space="preserve">rom January to December 2019 the Council </w:t>
      </w:r>
      <w:r>
        <w:rPr>
          <w:spacing w:val="4"/>
          <w:lang w:val="en"/>
        </w:rPr>
        <w:t xml:space="preserve">(excluding ODSL, ODST and OCHL) </w:t>
      </w:r>
      <w:r w:rsidR="00A65287" w:rsidRPr="00A65287">
        <w:rPr>
          <w:spacing w:val="4"/>
          <w:lang w:val="en"/>
        </w:rPr>
        <w:t xml:space="preserve">achieved an average of 64.10% </w:t>
      </w:r>
      <w:r w:rsidR="00D22857">
        <w:rPr>
          <w:spacing w:val="4"/>
          <w:lang w:val="en"/>
        </w:rPr>
        <w:t xml:space="preserve">of spend </w:t>
      </w:r>
      <w:r w:rsidR="00A65287" w:rsidRPr="00A65287">
        <w:rPr>
          <w:spacing w:val="4"/>
          <w:lang w:val="en"/>
        </w:rPr>
        <w:t xml:space="preserve">with national </w:t>
      </w:r>
      <w:r w:rsidR="00A65287">
        <w:rPr>
          <w:spacing w:val="4"/>
          <w:lang w:val="en"/>
        </w:rPr>
        <w:t xml:space="preserve">and local </w:t>
      </w:r>
      <w:r w:rsidR="00A65287" w:rsidRPr="00A65287">
        <w:rPr>
          <w:spacing w:val="4"/>
          <w:lang w:val="en"/>
        </w:rPr>
        <w:t>SMEs</w:t>
      </w:r>
      <w:r w:rsidR="000C07B1">
        <w:rPr>
          <w:spacing w:val="4"/>
          <w:lang w:val="en"/>
        </w:rPr>
        <w:t xml:space="preserve">, </w:t>
      </w:r>
      <w:r w:rsidR="00D22857">
        <w:rPr>
          <w:spacing w:val="4"/>
          <w:lang w:val="en"/>
        </w:rPr>
        <w:t xml:space="preserve">peaking </w:t>
      </w:r>
      <w:proofErr w:type="gramStart"/>
      <w:r>
        <w:rPr>
          <w:spacing w:val="4"/>
          <w:lang w:val="en"/>
        </w:rPr>
        <w:t>In</w:t>
      </w:r>
      <w:proofErr w:type="gramEnd"/>
      <w:r w:rsidRPr="00A65287">
        <w:rPr>
          <w:spacing w:val="4"/>
          <w:lang w:val="en"/>
        </w:rPr>
        <w:t xml:space="preserve"> </w:t>
      </w:r>
      <w:r w:rsidR="00A65287" w:rsidRPr="00A65287">
        <w:rPr>
          <w:spacing w:val="4"/>
          <w:lang w:val="en"/>
        </w:rPr>
        <w:t xml:space="preserve">the month of </w:t>
      </w:r>
      <w:r>
        <w:rPr>
          <w:spacing w:val="4"/>
          <w:lang w:val="en"/>
        </w:rPr>
        <w:t>August at</w:t>
      </w:r>
      <w:r w:rsidR="000C07B1">
        <w:rPr>
          <w:spacing w:val="4"/>
          <w:lang w:val="en"/>
        </w:rPr>
        <w:t xml:space="preserve"> </w:t>
      </w:r>
      <w:r>
        <w:rPr>
          <w:spacing w:val="4"/>
          <w:lang w:val="en"/>
        </w:rPr>
        <w:t>72.86</w:t>
      </w:r>
      <w:r w:rsidR="00A65287" w:rsidRPr="00A65287">
        <w:rPr>
          <w:spacing w:val="4"/>
          <w:lang w:val="en"/>
        </w:rPr>
        <w:t>%.</w:t>
      </w:r>
      <w:r w:rsidR="00A65287">
        <w:rPr>
          <w:spacing w:val="4"/>
          <w:lang w:val="en"/>
        </w:rPr>
        <w:t xml:space="preserve"> </w:t>
      </w:r>
    </w:p>
    <w:p w14:paraId="48321D10" w14:textId="77777777" w:rsidR="00CF21C0" w:rsidRDefault="007022DA" w:rsidP="00C90068">
      <w:pPr>
        <w:spacing w:before="180" w:after="180"/>
        <w:ind w:left="720" w:hanging="720"/>
        <w:rPr>
          <w:spacing w:val="4"/>
          <w:lang w:val="en"/>
        </w:rPr>
      </w:pPr>
      <w:r>
        <w:rPr>
          <w:spacing w:val="4"/>
          <w:lang w:val="en"/>
        </w:rPr>
        <w:t xml:space="preserve">4.4 </w:t>
      </w:r>
      <w:r w:rsidR="00C90068">
        <w:rPr>
          <w:spacing w:val="4"/>
          <w:lang w:val="en"/>
        </w:rPr>
        <w:tab/>
      </w:r>
      <w:r w:rsidR="00CF21C0" w:rsidRPr="00E576AF">
        <w:rPr>
          <w:spacing w:val="4"/>
          <w:lang w:val="en"/>
        </w:rPr>
        <w:t xml:space="preserve">Consideration should also be </w:t>
      </w:r>
      <w:r w:rsidR="00125C94">
        <w:rPr>
          <w:spacing w:val="4"/>
          <w:lang w:val="en"/>
        </w:rPr>
        <w:t>given</w:t>
      </w:r>
      <w:r w:rsidR="00125C94" w:rsidRPr="00E576AF">
        <w:rPr>
          <w:spacing w:val="4"/>
          <w:lang w:val="en"/>
        </w:rPr>
        <w:t xml:space="preserve"> </w:t>
      </w:r>
      <w:r w:rsidR="00125C94">
        <w:rPr>
          <w:spacing w:val="4"/>
          <w:lang w:val="en"/>
        </w:rPr>
        <w:t>to</w:t>
      </w:r>
      <w:r w:rsidR="00125C94" w:rsidRPr="00E576AF">
        <w:rPr>
          <w:spacing w:val="4"/>
          <w:lang w:val="en"/>
        </w:rPr>
        <w:t xml:space="preserve"> </w:t>
      </w:r>
      <w:r w:rsidR="00CF21C0" w:rsidRPr="00E576AF">
        <w:rPr>
          <w:spacing w:val="4"/>
          <w:lang w:val="en"/>
        </w:rPr>
        <w:t xml:space="preserve">the amount of spend which is via </w:t>
      </w:r>
      <w:r w:rsidR="00125C94">
        <w:rPr>
          <w:spacing w:val="4"/>
          <w:lang w:val="en"/>
        </w:rPr>
        <w:t>other</w:t>
      </w:r>
      <w:r w:rsidR="00125C94" w:rsidRPr="00E576AF">
        <w:rPr>
          <w:spacing w:val="4"/>
          <w:lang w:val="en"/>
        </w:rPr>
        <w:t xml:space="preserve"> </w:t>
      </w:r>
      <w:r w:rsidR="00CF21C0" w:rsidRPr="00E576AF">
        <w:rPr>
          <w:spacing w:val="4"/>
          <w:lang w:val="en"/>
        </w:rPr>
        <w:t>large contractor</w:t>
      </w:r>
      <w:r w:rsidR="00125C94">
        <w:rPr>
          <w:spacing w:val="4"/>
          <w:lang w:val="en"/>
        </w:rPr>
        <w:t>s</w:t>
      </w:r>
      <w:r w:rsidR="00CF21C0" w:rsidRPr="00E576AF">
        <w:rPr>
          <w:spacing w:val="4"/>
          <w:lang w:val="en"/>
        </w:rPr>
        <w:t xml:space="preserve"> who then purchase through a</w:t>
      </w:r>
      <w:r w:rsidR="00125C94">
        <w:rPr>
          <w:spacing w:val="4"/>
          <w:lang w:val="en"/>
        </w:rPr>
        <w:t>n</w:t>
      </w:r>
      <w:r w:rsidR="000C07B1">
        <w:rPr>
          <w:spacing w:val="4"/>
          <w:lang w:val="en"/>
        </w:rPr>
        <w:t xml:space="preserve"> SME </w:t>
      </w:r>
      <w:r w:rsidR="000C07B1" w:rsidRPr="00E576AF">
        <w:rPr>
          <w:spacing w:val="4"/>
          <w:lang w:val="en"/>
        </w:rPr>
        <w:t>(</w:t>
      </w:r>
      <w:r w:rsidR="00125C94">
        <w:rPr>
          <w:spacing w:val="4"/>
          <w:lang w:val="en"/>
        </w:rPr>
        <w:t xml:space="preserve">classed </w:t>
      </w:r>
      <w:r w:rsidR="000C07B1">
        <w:rPr>
          <w:spacing w:val="4"/>
          <w:lang w:val="en"/>
        </w:rPr>
        <w:t xml:space="preserve">as </w:t>
      </w:r>
      <w:r w:rsidR="000C07B1" w:rsidRPr="00E576AF">
        <w:rPr>
          <w:spacing w:val="4"/>
          <w:lang w:val="en"/>
        </w:rPr>
        <w:t>indirect</w:t>
      </w:r>
      <w:r w:rsidR="00CF21C0" w:rsidRPr="00E576AF">
        <w:rPr>
          <w:spacing w:val="4"/>
          <w:lang w:val="en"/>
        </w:rPr>
        <w:t xml:space="preserve"> </w:t>
      </w:r>
      <w:r w:rsidR="00125C94">
        <w:rPr>
          <w:spacing w:val="4"/>
          <w:lang w:val="en"/>
        </w:rPr>
        <w:t xml:space="preserve">SME </w:t>
      </w:r>
      <w:r w:rsidR="00CF21C0" w:rsidRPr="00E576AF">
        <w:rPr>
          <w:spacing w:val="4"/>
          <w:lang w:val="en"/>
        </w:rPr>
        <w:t>spend</w:t>
      </w:r>
      <w:r w:rsidR="00125C94">
        <w:rPr>
          <w:spacing w:val="4"/>
          <w:lang w:val="en"/>
        </w:rPr>
        <w:t>)</w:t>
      </w:r>
      <w:r w:rsidR="00CF21C0" w:rsidRPr="00E576AF">
        <w:rPr>
          <w:spacing w:val="4"/>
          <w:lang w:val="en"/>
        </w:rPr>
        <w:t xml:space="preserve"> (contractors who sub-contract to local suppliers) </w:t>
      </w:r>
      <w:r w:rsidR="00125C94">
        <w:rPr>
          <w:spacing w:val="4"/>
          <w:lang w:val="en"/>
        </w:rPr>
        <w:t>Figures indicate for ODSL this is running between 20 and 43%</w:t>
      </w:r>
      <w:r w:rsidR="00CF21C0" w:rsidRPr="00E576AF">
        <w:rPr>
          <w:spacing w:val="4"/>
          <w:lang w:val="en"/>
        </w:rPr>
        <w:t>% of spend.</w:t>
      </w:r>
    </w:p>
    <w:p w14:paraId="4591C2F5" w14:textId="77777777" w:rsidR="00AF09A7" w:rsidRDefault="007C5787" w:rsidP="00C90068">
      <w:pPr>
        <w:spacing w:before="180" w:after="180"/>
        <w:ind w:left="720" w:hanging="720"/>
        <w:rPr>
          <w:spacing w:val="4"/>
          <w:lang w:val="en"/>
        </w:rPr>
      </w:pPr>
      <w:r>
        <w:rPr>
          <w:spacing w:val="4"/>
          <w:lang w:val="en"/>
        </w:rPr>
        <w:t xml:space="preserve">4.5 </w:t>
      </w:r>
      <w:r w:rsidR="00C90068">
        <w:rPr>
          <w:spacing w:val="4"/>
          <w:lang w:val="en"/>
        </w:rPr>
        <w:tab/>
      </w:r>
      <w:r w:rsidR="00AF09A7">
        <w:rPr>
          <w:spacing w:val="4"/>
          <w:lang w:val="en"/>
        </w:rPr>
        <w:t xml:space="preserve">In 2020 to try and increase </w:t>
      </w:r>
      <w:r w:rsidR="00B51F4E">
        <w:rPr>
          <w:spacing w:val="4"/>
          <w:lang w:val="en"/>
        </w:rPr>
        <w:t xml:space="preserve">the Council’s and wholly owned companies </w:t>
      </w:r>
      <w:r w:rsidR="00AF09A7">
        <w:rPr>
          <w:spacing w:val="4"/>
          <w:lang w:val="en"/>
        </w:rPr>
        <w:t>procurement spend with SMEs, Procurement will look at various</w:t>
      </w:r>
      <w:r w:rsidR="009A501A">
        <w:rPr>
          <w:spacing w:val="4"/>
          <w:lang w:val="en"/>
        </w:rPr>
        <w:t xml:space="preserve"> options:</w:t>
      </w:r>
    </w:p>
    <w:p w14:paraId="03F10A2C" w14:textId="77777777" w:rsidR="008177D2" w:rsidRPr="008177D2" w:rsidRDefault="007C5787" w:rsidP="008177D2">
      <w:pPr>
        <w:pStyle w:val="ListParagraph"/>
        <w:numPr>
          <w:ilvl w:val="0"/>
          <w:numId w:val="24"/>
        </w:numPr>
        <w:spacing w:before="180" w:after="180"/>
      </w:pPr>
      <w:r w:rsidRPr="008177D2">
        <w:rPr>
          <w:spacing w:val="4"/>
          <w:lang w:val="en"/>
        </w:rPr>
        <w:t>In early 2020</w:t>
      </w:r>
      <w:r w:rsidR="00E50FF6">
        <w:rPr>
          <w:spacing w:val="4"/>
          <w:lang w:val="en"/>
        </w:rPr>
        <w:t>,</w:t>
      </w:r>
      <w:r w:rsidRPr="008177D2">
        <w:rPr>
          <w:spacing w:val="4"/>
          <w:lang w:val="en"/>
        </w:rPr>
        <w:t xml:space="preserve"> </w:t>
      </w:r>
      <w:r w:rsidR="008177D2">
        <w:rPr>
          <w:spacing w:val="4"/>
          <w:lang w:val="en"/>
        </w:rPr>
        <w:t>hold</w:t>
      </w:r>
      <w:r w:rsidRPr="008177D2">
        <w:rPr>
          <w:spacing w:val="4"/>
          <w:lang w:val="en"/>
        </w:rPr>
        <w:t xml:space="preserve"> a suppliers engagement event</w:t>
      </w:r>
      <w:r w:rsidR="009A501A" w:rsidRPr="008177D2">
        <w:rPr>
          <w:spacing w:val="4"/>
          <w:lang w:val="en"/>
        </w:rPr>
        <w:t>, to include local suppliers, SMEs and Voluntary Community Social Enterprises (VCSE).</w:t>
      </w:r>
    </w:p>
    <w:p w14:paraId="511FF34E" w14:textId="77777777" w:rsidR="00AF09A7" w:rsidRPr="008177D2" w:rsidRDefault="009A501A" w:rsidP="008177D2">
      <w:pPr>
        <w:pStyle w:val="ListParagraph"/>
        <w:numPr>
          <w:ilvl w:val="0"/>
          <w:numId w:val="24"/>
        </w:numPr>
        <w:spacing w:before="180" w:after="180"/>
      </w:pPr>
      <w:r>
        <w:t xml:space="preserve">To </w:t>
      </w:r>
      <w:r w:rsidR="00AF09A7" w:rsidRPr="008177D2">
        <w:t>raise awareness of the SME</w:t>
      </w:r>
      <w:r>
        <w:t>, VCSE</w:t>
      </w:r>
      <w:r w:rsidR="00AF09A7" w:rsidRPr="008177D2">
        <w:t xml:space="preserve"> </w:t>
      </w:r>
      <w:r>
        <w:t xml:space="preserve">and Social Value </w:t>
      </w:r>
      <w:r w:rsidR="00AF09A7" w:rsidRPr="008177D2">
        <w:t>Agenda across the business via team bulletins, workshops and contract management training</w:t>
      </w:r>
    </w:p>
    <w:p w14:paraId="51C5CF73" w14:textId="77777777" w:rsidR="00AF09A7" w:rsidRDefault="009A501A" w:rsidP="008177D2">
      <w:pPr>
        <w:pStyle w:val="Default"/>
        <w:numPr>
          <w:ilvl w:val="0"/>
          <w:numId w:val="24"/>
        </w:numPr>
      </w:pPr>
      <w:r>
        <w:t xml:space="preserve">To </w:t>
      </w:r>
      <w:r w:rsidR="00B51F4E">
        <w:t>engage</w:t>
      </w:r>
      <w:r w:rsidR="00E50FF6">
        <w:t xml:space="preserve"> with</w:t>
      </w:r>
      <w:r w:rsidR="00B51F4E">
        <w:t xml:space="preserve"> local </w:t>
      </w:r>
      <w:r w:rsidR="00AF09A7" w:rsidRPr="008177D2">
        <w:t>SME representative groups</w:t>
      </w:r>
      <w:r w:rsidR="00B51F4E">
        <w:t xml:space="preserve"> i.e. Federation of Small Businesses</w:t>
      </w:r>
    </w:p>
    <w:p w14:paraId="2CB45FFF" w14:textId="77777777" w:rsidR="00E62F2F" w:rsidRDefault="00E62F2F" w:rsidP="00E62F2F">
      <w:pPr>
        <w:pStyle w:val="Default"/>
        <w:ind w:left="1800"/>
      </w:pPr>
    </w:p>
    <w:p w14:paraId="1ED37EB9" w14:textId="77777777" w:rsidR="009A501A" w:rsidRDefault="009A501A" w:rsidP="008177D2">
      <w:pPr>
        <w:pStyle w:val="Default"/>
        <w:numPr>
          <w:ilvl w:val="0"/>
          <w:numId w:val="24"/>
        </w:numPr>
      </w:pPr>
      <w:r>
        <w:t xml:space="preserve">To </w:t>
      </w:r>
      <w:r w:rsidR="007C20ED">
        <w:t>review</w:t>
      </w:r>
      <w:r>
        <w:t xml:space="preserve"> all Procurement processes and identify where we can compliantly assist SMEs to engage</w:t>
      </w:r>
      <w:r w:rsidR="00E50FF6">
        <w:t xml:space="preserve"> and bid for more contracts</w:t>
      </w:r>
    </w:p>
    <w:p w14:paraId="32B144D1" w14:textId="77777777" w:rsidR="00E62F2F" w:rsidRDefault="00E62F2F" w:rsidP="00E62F2F">
      <w:pPr>
        <w:pStyle w:val="Default"/>
        <w:ind w:left="1800"/>
      </w:pPr>
    </w:p>
    <w:p w14:paraId="55A9D5F3" w14:textId="77777777" w:rsidR="007C5787" w:rsidRDefault="009A501A" w:rsidP="008177D2">
      <w:pPr>
        <w:pStyle w:val="Default"/>
        <w:numPr>
          <w:ilvl w:val="0"/>
          <w:numId w:val="24"/>
        </w:numPr>
      </w:pPr>
      <w:r>
        <w:t>Consistency of approach with other departments within the Council</w:t>
      </w:r>
    </w:p>
    <w:p w14:paraId="6F81A4D0" w14:textId="77777777" w:rsidR="009A501A" w:rsidRPr="008177D2" w:rsidRDefault="009A501A" w:rsidP="008177D2">
      <w:pPr>
        <w:pStyle w:val="Default"/>
        <w:ind w:left="360"/>
        <w:rPr>
          <w:spacing w:val="4"/>
          <w:lang w:val="en"/>
        </w:rPr>
      </w:pPr>
    </w:p>
    <w:p w14:paraId="5B9CC216" w14:textId="77777777" w:rsidR="00394B5F" w:rsidRPr="009A501A" w:rsidRDefault="00394B5F" w:rsidP="00C90068">
      <w:pPr>
        <w:ind w:left="720" w:hanging="720"/>
        <w:rPr>
          <w:color w:val="auto"/>
        </w:rPr>
      </w:pPr>
      <w:r>
        <w:t>4.</w:t>
      </w:r>
      <w:r w:rsidR="009A501A">
        <w:t>6</w:t>
      </w:r>
      <w:r>
        <w:tab/>
      </w:r>
      <w:r w:rsidR="00371FEF">
        <w:t xml:space="preserve">The Council has a good track record of work in this area as shown in the following </w:t>
      </w:r>
      <w:r>
        <w:t>graphs. The graphs</w:t>
      </w:r>
      <w:r w:rsidR="0078108A">
        <w:t xml:space="preserve"> below </w:t>
      </w:r>
      <w:r>
        <w:t xml:space="preserve">show </w:t>
      </w:r>
      <w:r w:rsidR="0078108A" w:rsidRPr="009A501A">
        <w:rPr>
          <w:color w:val="auto"/>
        </w:rPr>
        <w:t>I</w:t>
      </w:r>
      <w:r w:rsidRPr="009A501A">
        <w:rPr>
          <w:color w:val="auto"/>
        </w:rPr>
        <w:t>nformation for spend in the Council, Oxford Direct Services and Oxford City Housing Ltd over the period 1-1-2019 to 31-12-2019</w:t>
      </w:r>
      <w:r w:rsidR="0078108A" w:rsidRPr="009A501A">
        <w:rPr>
          <w:color w:val="auto"/>
        </w:rPr>
        <w:t xml:space="preserve"> split between national and local SME’s</w:t>
      </w:r>
    </w:p>
    <w:p w14:paraId="27CEB004" w14:textId="77777777" w:rsidR="008F61E3" w:rsidRDefault="008F61E3" w:rsidP="00CF21C0">
      <w:pPr>
        <w:spacing w:before="180" w:after="180"/>
        <w:rPr>
          <w:spacing w:val="4"/>
          <w:lang w:val="en"/>
        </w:rPr>
      </w:pPr>
    </w:p>
    <w:p w14:paraId="3F43641E" w14:textId="77777777" w:rsidR="008F61E3" w:rsidRPr="00E576AF" w:rsidRDefault="008F61E3" w:rsidP="00CF21C0">
      <w:pPr>
        <w:spacing w:before="180" w:after="180"/>
        <w:rPr>
          <w:spacing w:val="4"/>
          <w:lang w:val="en"/>
        </w:rPr>
      </w:pPr>
    </w:p>
    <w:p w14:paraId="1764A480" w14:textId="77777777" w:rsidR="000D01CD" w:rsidRPr="00CF21C0" w:rsidRDefault="00E9325D" w:rsidP="00CF21C0">
      <w:r>
        <w:rPr>
          <w:noProof/>
        </w:rPr>
        <w:drawing>
          <wp:inline distT="0" distB="0" distL="0" distR="0" wp14:anchorId="2F0BC27B" wp14:editId="7130AD8A">
            <wp:extent cx="5904230" cy="2428703"/>
            <wp:effectExtent l="0" t="0" r="1270" b="1016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B076E90" w14:textId="77777777" w:rsidR="000D01CD" w:rsidRDefault="00E9325D" w:rsidP="00FD3CD4">
      <w:r>
        <w:rPr>
          <w:noProof/>
        </w:rPr>
        <w:drawing>
          <wp:inline distT="0" distB="0" distL="0" distR="0" wp14:anchorId="737E848F" wp14:editId="57B064D9">
            <wp:extent cx="5904230" cy="2428703"/>
            <wp:effectExtent l="0" t="0" r="1270" b="1016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729364C" w14:textId="77777777" w:rsidR="00E9325D" w:rsidRDefault="00E9325D" w:rsidP="00FD3CD4"/>
    <w:p w14:paraId="4314CCFD" w14:textId="77777777" w:rsidR="00AA1FAE" w:rsidRDefault="00E9325D" w:rsidP="00FD3CD4">
      <w:r>
        <w:rPr>
          <w:noProof/>
        </w:rPr>
        <w:drawing>
          <wp:inline distT="0" distB="0" distL="0" distR="0" wp14:anchorId="2519BF43" wp14:editId="67CB2C6D">
            <wp:extent cx="5904230" cy="2428703"/>
            <wp:effectExtent l="0" t="0" r="1270" b="1016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008D56A" w14:textId="77777777" w:rsidR="00CD3BF5" w:rsidRDefault="00CD3BF5" w:rsidP="00FD3CD4"/>
    <w:p w14:paraId="3DEFEC45" w14:textId="77777777" w:rsidR="00CF21C0" w:rsidRPr="00C90068" w:rsidRDefault="007022DA" w:rsidP="00CF21C0">
      <w:pPr>
        <w:spacing w:before="180" w:after="180"/>
        <w:rPr>
          <w:b/>
          <w:spacing w:val="4"/>
          <w:lang w:val="en"/>
        </w:rPr>
      </w:pPr>
      <w:r w:rsidRPr="00C90068">
        <w:rPr>
          <w:b/>
          <w:bCs/>
          <w:spacing w:val="4"/>
          <w:lang w:val="en"/>
        </w:rPr>
        <w:t>4.</w:t>
      </w:r>
      <w:r w:rsidR="008177D2" w:rsidRPr="00C90068">
        <w:rPr>
          <w:b/>
          <w:bCs/>
          <w:spacing w:val="4"/>
          <w:lang w:val="en"/>
        </w:rPr>
        <w:t>7</w:t>
      </w:r>
      <w:r w:rsidRPr="00C90068">
        <w:rPr>
          <w:b/>
          <w:bCs/>
          <w:spacing w:val="4"/>
          <w:lang w:val="en"/>
        </w:rPr>
        <w:t xml:space="preserve"> </w:t>
      </w:r>
      <w:r w:rsidR="00CF21C0" w:rsidRPr="00C90068">
        <w:rPr>
          <w:b/>
          <w:bCs/>
          <w:spacing w:val="4"/>
          <w:lang w:val="en"/>
        </w:rPr>
        <w:t>Use of local suppliers</w:t>
      </w:r>
    </w:p>
    <w:p w14:paraId="3847E5B7" w14:textId="77777777" w:rsidR="00CF21C0" w:rsidRPr="00E576AF" w:rsidRDefault="0078108A" w:rsidP="00C90068">
      <w:pPr>
        <w:spacing w:before="180" w:after="180"/>
        <w:ind w:left="567" w:hanging="709"/>
        <w:rPr>
          <w:spacing w:val="4"/>
          <w:lang w:val="en"/>
        </w:rPr>
      </w:pPr>
      <w:r>
        <w:rPr>
          <w:spacing w:val="4"/>
          <w:lang w:val="en"/>
        </w:rPr>
        <w:t>4.</w:t>
      </w:r>
      <w:r w:rsidR="008177D2">
        <w:rPr>
          <w:spacing w:val="4"/>
          <w:lang w:val="en"/>
        </w:rPr>
        <w:t>7</w:t>
      </w:r>
      <w:r>
        <w:rPr>
          <w:spacing w:val="4"/>
          <w:lang w:val="en"/>
        </w:rPr>
        <w:t xml:space="preserve">.1 </w:t>
      </w:r>
      <w:r w:rsidR="00C90068">
        <w:rPr>
          <w:spacing w:val="4"/>
          <w:lang w:val="en"/>
        </w:rPr>
        <w:tab/>
      </w:r>
      <w:r w:rsidR="00C90068">
        <w:rPr>
          <w:spacing w:val="4"/>
          <w:lang w:val="en"/>
        </w:rPr>
        <w:tab/>
      </w:r>
      <w:r w:rsidR="00CF21C0" w:rsidRPr="00E576AF">
        <w:rPr>
          <w:spacing w:val="4"/>
          <w:lang w:val="en"/>
        </w:rPr>
        <w:t>Using local suppliers clearly help</w:t>
      </w:r>
      <w:r w:rsidR="00CF21C0">
        <w:rPr>
          <w:spacing w:val="4"/>
          <w:lang w:val="en"/>
        </w:rPr>
        <w:t>s</w:t>
      </w:r>
      <w:r w:rsidR="00CF21C0" w:rsidRPr="00E576AF">
        <w:rPr>
          <w:spacing w:val="4"/>
          <w:lang w:val="en"/>
        </w:rPr>
        <w:t xml:space="preserve"> the local area in terms of employment and wellbeing of residents in the locality.</w:t>
      </w:r>
      <w:r w:rsidR="00CF21C0">
        <w:rPr>
          <w:spacing w:val="4"/>
          <w:lang w:val="en"/>
        </w:rPr>
        <w:t xml:space="preserve"> O</w:t>
      </w:r>
      <w:r w:rsidR="00395D9C">
        <w:rPr>
          <w:spacing w:val="4"/>
          <w:lang w:val="en"/>
        </w:rPr>
        <w:t>xford City Councils</w:t>
      </w:r>
      <w:r w:rsidR="00CF21C0" w:rsidRPr="00E576AF">
        <w:rPr>
          <w:spacing w:val="4"/>
          <w:lang w:val="en"/>
        </w:rPr>
        <w:t xml:space="preserve"> local spend </w:t>
      </w:r>
      <w:r>
        <w:rPr>
          <w:spacing w:val="4"/>
          <w:lang w:val="en"/>
        </w:rPr>
        <w:t xml:space="preserve">for December 2019 </w:t>
      </w:r>
      <w:r w:rsidR="00CF21C0" w:rsidRPr="00E576AF">
        <w:rPr>
          <w:spacing w:val="4"/>
          <w:lang w:val="en"/>
        </w:rPr>
        <w:t xml:space="preserve">achieved </w:t>
      </w:r>
      <w:r w:rsidR="00CF21C0">
        <w:rPr>
          <w:spacing w:val="4"/>
          <w:lang w:val="en"/>
        </w:rPr>
        <w:t>38.92% and f</w:t>
      </w:r>
      <w:r w:rsidR="00CF21C0" w:rsidRPr="00E576AF">
        <w:rPr>
          <w:spacing w:val="4"/>
          <w:lang w:val="en"/>
        </w:rPr>
        <w:t>or local SMEs we achieved 3</w:t>
      </w:r>
      <w:r w:rsidR="00CF21C0">
        <w:rPr>
          <w:spacing w:val="4"/>
          <w:lang w:val="en"/>
        </w:rPr>
        <w:t>1.52</w:t>
      </w:r>
      <w:r w:rsidR="00CF21C0" w:rsidRPr="00E576AF">
        <w:rPr>
          <w:spacing w:val="4"/>
          <w:lang w:val="en"/>
        </w:rPr>
        <w:t>%</w:t>
      </w:r>
      <w:r>
        <w:rPr>
          <w:spacing w:val="4"/>
          <w:lang w:val="en"/>
        </w:rPr>
        <w:t xml:space="preserve"> as shown in the following graphs:</w:t>
      </w:r>
    </w:p>
    <w:p w14:paraId="39445E5E" w14:textId="77777777" w:rsidR="00CF21C0" w:rsidRDefault="00E9325D" w:rsidP="00FD3CD4">
      <w:r>
        <w:rPr>
          <w:noProof/>
        </w:rPr>
        <w:drawing>
          <wp:inline distT="0" distB="0" distL="0" distR="0" wp14:anchorId="78744F8D" wp14:editId="211CBB07">
            <wp:extent cx="5904230" cy="2428948"/>
            <wp:effectExtent l="0" t="0" r="127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EE52188" w14:textId="77777777" w:rsidR="00D948E5" w:rsidRDefault="00395D9C" w:rsidP="00FD3CD4">
      <w:r>
        <w:rPr>
          <w:noProof/>
        </w:rPr>
        <w:drawing>
          <wp:inline distT="0" distB="0" distL="0" distR="0" wp14:anchorId="663FB71C" wp14:editId="35609686">
            <wp:extent cx="5904230" cy="2428240"/>
            <wp:effectExtent l="0" t="0" r="1270" b="1016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74408AB" w14:textId="77777777" w:rsidR="00D948E5" w:rsidRDefault="00D948E5" w:rsidP="00FD3CD4"/>
    <w:p w14:paraId="580D4CAE" w14:textId="77777777" w:rsidR="00D948E5" w:rsidRDefault="0078108A" w:rsidP="008177D2">
      <w:pPr>
        <w:ind w:left="720" w:hanging="720"/>
      </w:pPr>
      <w:r>
        <w:t>4.</w:t>
      </w:r>
      <w:r w:rsidR="008177D2">
        <w:t>7</w:t>
      </w:r>
      <w:r>
        <w:t>.2</w:t>
      </w:r>
      <w:r>
        <w:tab/>
      </w:r>
      <w:r w:rsidR="00FC419D">
        <w:t>It is ODSLs intention to engage with more local suppliers and to find ways to make it easier for SMEs to work and bid for work with ODSL.</w:t>
      </w:r>
    </w:p>
    <w:p w14:paraId="114390C5" w14:textId="77777777" w:rsidR="00D948E5" w:rsidRDefault="00D948E5" w:rsidP="00FD3CD4"/>
    <w:p w14:paraId="68159C12" w14:textId="77777777" w:rsidR="00CF21C0" w:rsidRDefault="00E9325D" w:rsidP="00FD3CD4">
      <w:r>
        <w:rPr>
          <w:noProof/>
        </w:rPr>
        <w:drawing>
          <wp:inline distT="0" distB="0" distL="0" distR="0" wp14:anchorId="557B54FE" wp14:editId="77786498">
            <wp:extent cx="5904230" cy="2428703"/>
            <wp:effectExtent l="0" t="0" r="1270" b="1016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0115BD2" w14:textId="77777777" w:rsidR="00CF21C0" w:rsidRDefault="00CF21C0" w:rsidP="00FD3CD4"/>
    <w:p w14:paraId="54FC55BD" w14:textId="77777777" w:rsidR="00395D9C" w:rsidRDefault="00395D9C" w:rsidP="00FD3CD4">
      <w:r>
        <w:rPr>
          <w:noProof/>
        </w:rPr>
        <w:drawing>
          <wp:inline distT="0" distB="0" distL="0" distR="0" wp14:anchorId="60B810A1" wp14:editId="1062E29B">
            <wp:extent cx="5904230" cy="2428240"/>
            <wp:effectExtent l="0" t="0" r="1270" b="1016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F721451" w14:textId="77777777" w:rsidR="00395D9C" w:rsidRDefault="00395D9C" w:rsidP="00FD3CD4"/>
    <w:p w14:paraId="06824D68" w14:textId="77777777" w:rsidR="00395D9C" w:rsidRDefault="0078108A" w:rsidP="00C90068">
      <w:pPr>
        <w:ind w:left="720" w:hanging="720"/>
      </w:pPr>
      <w:r>
        <w:t>4.</w:t>
      </w:r>
      <w:r w:rsidR="008177D2">
        <w:t>7</w:t>
      </w:r>
      <w:r>
        <w:t xml:space="preserve">.3 </w:t>
      </w:r>
      <w:r w:rsidR="00C90068">
        <w:tab/>
      </w:r>
      <w:r w:rsidR="00395D9C">
        <w:t xml:space="preserve">OCHL local (and SME) spend can be unpredictable as the charts show below, the </w:t>
      </w:r>
      <w:r>
        <w:t xml:space="preserve">   </w:t>
      </w:r>
      <w:r w:rsidR="00395D9C">
        <w:t xml:space="preserve">100% point indicates spend of £8k with local suppliers, whereas for April and May, spend was around £400k </w:t>
      </w:r>
      <w:r w:rsidR="00C912C3">
        <w:t xml:space="preserve">(in total) </w:t>
      </w:r>
      <w:r w:rsidR="00395D9C">
        <w:t>with minimal local suppliers being used, most being National SMEs.</w:t>
      </w:r>
    </w:p>
    <w:p w14:paraId="4FE04A80" w14:textId="77777777" w:rsidR="00E9325D" w:rsidRDefault="00E9325D" w:rsidP="00FD3CD4">
      <w:r>
        <w:rPr>
          <w:noProof/>
        </w:rPr>
        <w:drawing>
          <wp:inline distT="0" distB="0" distL="0" distR="0" wp14:anchorId="3C9C2049" wp14:editId="4C8F7167">
            <wp:extent cx="5904230" cy="2428703"/>
            <wp:effectExtent l="0" t="0" r="1270" b="1016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A96E16C" w14:textId="77777777" w:rsidR="00FB13FC" w:rsidRDefault="00FB13FC" w:rsidP="00FD3CD4"/>
    <w:p w14:paraId="3952CCAB" w14:textId="77777777" w:rsidR="00FB13FC" w:rsidRDefault="00FB13FC" w:rsidP="00FD3CD4">
      <w:r>
        <w:rPr>
          <w:noProof/>
        </w:rPr>
        <w:drawing>
          <wp:inline distT="0" distB="0" distL="0" distR="0" wp14:anchorId="35FE50F0" wp14:editId="7873DCD4">
            <wp:extent cx="5904230" cy="2428240"/>
            <wp:effectExtent l="0" t="0" r="1270" b="1016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8828D32" w14:textId="77777777" w:rsidR="00E9325D" w:rsidRDefault="00E9325D" w:rsidP="00FD3CD4">
      <w:pPr>
        <w:rPr>
          <w:color w:val="auto"/>
        </w:rPr>
      </w:pPr>
    </w:p>
    <w:p w14:paraId="036F7F2D" w14:textId="77777777" w:rsidR="00D922E4" w:rsidRDefault="00D922E4" w:rsidP="00FD3CD4">
      <w:pPr>
        <w:rPr>
          <w:color w:val="auto"/>
        </w:rPr>
      </w:pPr>
    </w:p>
    <w:p w14:paraId="676E83D0" w14:textId="77777777" w:rsidR="00AE6FBD" w:rsidRPr="00C90068" w:rsidRDefault="00AE6FBD" w:rsidP="00C90068">
      <w:pPr>
        <w:ind w:firstLine="720"/>
        <w:rPr>
          <w:b/>
          <w:color w:val="auto"/>
        </w:rPr>
      </w:pPr>
      <w:r w:rsidRPr="00C90068">
        <w:rPr>
          <w:b/>
          <w:color w:val="auto"/>
        </w:rPr>
        <w:t xml:space="preserve">Payment </w:t>
      </w:r>
      <w:r w:rsidR="008177D2" w:rsidRPr="00C90068">
        <w:rPr>
          <w:b/>
          <w:color w:val="auto"/>
        </w:rPr>
        <w:t>for</w:t>
      </w:r>
      <w:r w:rsidRPr="00C90068">
        <w:rPr>
          <w:b/>
          <w:color w:val="auto"/>
        </w:rPr>
        <w:t xml:space="preserve"> Goods and Services</w:t>
      </w:r>
    </w:p>
    <w:p w14:paraId="15C3B1AF" w14:textId="77777777" w:rsidR="00AA1FAE" w:rsidRPr="00FC419D" w:rsidRDefault="00AE6FBD" w:rsidP="008177D2">
      <w:pPr>
        <w:ind w:left="720" w:hanging="720"/>
        <w:rPr>
          <w:color w:val="auto"/>
        </w:rPr>
      </w:pPr>
      <w:r>
        <w:rPr>
          <w:color w:val="auto"/>
        </w:rPr>
        <w:t>4.</w:t>
      </w:r>
      <w:r w:rsidR="00BE264E">
        <w:rPr>
          <w:color w:val="auto"/>
        </w:rPr>
        <w:t>7</w:t>
      </w:r>
      <w:r>
        <w:rPr>
          <w:color w:val="auto"/>
        </w:rPr>
        <w:t>.4</w:t>
      </w:r>
      <w:r>
        <w:rPr>
          <w:color w:val="auto"/>
        </w:rPr>
        <w:tab/>
      </w:r>
      <w:r w:rsidR="00AA1FAE" w:rsidRPr="00FC419D">
        <w:rPr>
          <w:color w:val="auto"/>
        </w:rPr>
        <w:t xml:space="preserve">In addition to paying </w:t>
      </w:r>
      <w:r w:rsidR="001F246A" w:rsidRPr="00FC419D">
        <w:rPr>
          <w:color w:val="auto"/>
        </w:rPr>
        <w:t>99</w:t>
      </w:r>
      <w:r w:rsidR="003A4832" w:rsidRPr="00FC419D">
        <w:rPr>
          <w:color w:val="auto"/>
        </w:rPr>
        <w:t>.9</w:t>
      </w:r>
      <w:r w:rsidR="00AA1FAE" w:rsidRPr="00FC419D">
        <w:rPr>
          <w:color w:val="auto"/>
        </w:rPr>
        <w:t xml:space="preserve">% of our undisputed invoices within 30 days of receipt the Council already pay all </w:t>
      </w:r>
      <w:r w:rsidR="00FC419D" w:rsidRPr="00FC419D">
        <w:rPr>
          <w:color w:val="auto"/>
        </w:rPr>
        <w:t xml:space="preserve">local </w:t>
      </w:r>
      <w:r w:rsidR="00AA1FAE" w:rsidRPr="00FC419D">
        <w:rPr>
          <w:color w:val="auto"/>
        </w:rPr>
        <w:t>SME’s within 14 days of receipt</w:t>
      </w:r>
      <w:r w:rsidR="00FC419D">
        <w:rPr>
          <w:color w:val="auto"/>
        </w:rPr>
        <w:t>.</w:t>
      </w:r>
      <w:r w:rsidR="00AA1FAE" w:rsidRPr="00FC419D">
        <w:rPr>
          <w:color w:val="auto"/>
        </w:rPr>
        <w:t xml:space="preserve"> </w:t>
      </w:r>
    </w:p>
    <w:p w14:paraId="0F84485D" w14:textId="77777777" w:rsidR="000D01CD" w:rsidRPr="000D01CD" w:rsidRDefault="000D01CD" w:rsidP="00FD3CD4"/>
    <w:p w14:paraId="60D8DDB1" w14:textId="77777777" w:rsidR="00FD3CD4" w:rsidRPr="007022DA" w:rsidRDefault="00FD3CD4" w:rsidP="00DC3923">
      <w:pPr>
        <w:pStyle w:val="Heading1"/>
      </w:pPr>
      <w:r w:rsidRPr="007022DA">
        <w:t>Key Learning points to date</w:t>
      </w:r>
    </w:p>
    <w:p w14:paraId="7ABDBB32" w14:textId="77777777" w:rsidR="00EF4700" w:rsidRDefault="00EF4700" w:rsidP="00EF4700">
      <w:pPr>
        <w:spacing w:after="0"/>
        <w:rPr>
          <w:b/>
        </w:rPr>
      </w:pPr>
    </w:p>
    <w:p w14:paraId="5BC35C95" w14:textId="77777777" w:rsidR="00AE6FBD" w:rsidRDefault="007022DA" w:rsidP="00C90068">
      <w:pPr>
        <w:spacing w:after="0"/>
        <w:ind w:left="709" w:hanging="709"/>
      </w:pPr>
      <w:r>
        <w:t xml:space="preserve">5.1 </w:t>
      </w:r>
      <w:r w:rsidR="00AE6FBD">
        <w:tab/>
      </w:r>
      <w:r w:rsidR="00EF4700" w:rsidRPr="00EF4700">
        <w:t xml:space="preserve">Recent </w:t>
      </w:r>
      <w:r w:rsidR="00EF4700">
        <w:t xml:space="preserve">Social Value webinars acknowledge that there are challenges to embedding Social Value into Procurement processes, the three main areas of concern have highlighted that many authorities </w:t>
      </w:r>
      <w:r w:rsidR="008177D2">
        <w:t>are:</w:t>
      </w:r>
    </w:p>
    <w:p w14:paraId="70C39DDD" w14:textId="77777777" w:rsidR="00AE6FBD" w:rsidRDefault="00EF4700" w:rsidP="008177D2">
      <w:pPr>
        <w:pStyle w:val="ListParagraph"/>
        <w:numPr>
          <w:ilvl w:val="0"/>
          <w:numId w:val="21"/>
        </w:numPr>
        <w:spacing w:after="0"/>
        <w:rPr>
          <w:rFonts w:cs="Arial"/>
          <w:lang w:eastAsia="en-US"/>
        </w:rPr>
      </w:pPr>
      <w:r>
        <w:t>still struggling to have a consistent approach with m</w:t>
      </w:r>
      <w:r w:rsidRPr="00AE6FBD">
        <w:rPr>
          <w:rFonts w:cs="Arial"/>
          <w:lang w:eastAsia="en-US"/>
        </w:rPr>
        <w:t xml:space="preserve">ixed practices from public sector buyers and suppliers, </w:t>
      </w:r>
    </w:p>
    <w:p w14:paraId="1B8C0A0B" w14:textId="77777777" w:rsidR="00AE6FBD" w:rsidRDefault="00EF4700" w:rsidP="008177D2">
      <w:pPr>
        <w:pStyle w:val="ListParagraph"/>
        <w:numPr>
          <w:ilvl w:val="0"/>
          <w:numId w:val="21"/>
        </w:numPr>
        <w:spacing w:after="0"/>
        <w:rPr>
          <w:rFonts w:cs="Arial"/>
          <w:lang w:eastAsia="en-US"/>
        </w:rPr>
      </w:pPr>
      <w:r w:rsidRPr="00AE6FBD">
        <w:rPr>
          <w:rFonts w:cs="Arial"/>
          <w:lang w:eastAsia="en-US"/>
        </w:rPr>
        <w:t xml:space="preserve">there is no </w:t>
      </w:r>
      <w:r w:rsidR="00282B7A">
        <w:rPr>
          <w:rFonts w:cs="Arial"/>
          <w:lang w:eastAsia="en-US"/>
        </w:rPr>
        <w:t>standard effective way to</w:t>
      </w:r>
      <w:r w:rsidR="00282B7A" w:rsidRPr="00AE6FBD">
        <w:rPr>
          <w:rFonts w:cs="Arial"/>
          <w:lang w:eastAsia="en-US"/>
        </w:rPr>
        <w:t xml:space="preserve"> </w:t>
      </w:r>
      <w:r w:rsidRPr="00AE6FBD">
        <w:rPr>
          <w:rFonts w:cs="Arial"/>
          <w:lang w:eastAsia="en-US"/>
        </w:rPr>
        <w:t xml:space="preserve">measure SV  and </w:t>
      </w:r>
    </w:p>
    <w:p w14:paraId="666A0B0E" w14:textId="77777777" w:rsidR="00EF4700" w:rsidRPr="00AE6FBD" w:rsidRDefault="00EF4700" w:rsidP="008177D2">
      <w:pPr>
        <w:pStyle w:val="ListParagraph"/>
        <w:numPr>
          <w:ilvl w:val="0"/>
          <w:numId w:val="21"/>
        </w:numPr>
        <w:spacing w:after="0"/>
        <w:rPr>
          <w:rFonts w:cs="Arial"/>
          <w:lang w:eastAsia="en-US"/>
        </w:rPr>
      </w:pPr>
      <w:proofErr w:type="gramStart"/>
      <w:r w:rsidRPr="00AE6FBD">
        <w:rPr>
          <w:rFonts w:cs="Arial"/>
          <w:lang w:eastAsia="en-US"/>
        </w:rPr>
        <w:t>there</w:t>
      </w:r>
      <w:proofErr w:type="gramEnd"/>
      <w:r w:rsidRPr="00AE6FBD">
        <w:rPr>
          <w:rFonts w:cs="Arial"/>
          <w:lang w:eastAsia="en-US"/>
        </w:rPr>
        <w:t xml:space="preserve"> is no scrutiny or consequence for failing to deliver SV commitments</w:t>
      </w:r>
      <w:r w:rsidR="00282B7A">
        <w:rPr>
          <w:rFonts w:cs="Arial"/>
          <w:lang w:eastAsia="en-US"/>
        </w:rPr>
        <w:t xml:space="preserve"> identified during the procurement process</w:t>
      </w:r>
      <w:r w:rsidRPr="00AE6FBD">
        <w:rPr>
          <w:rFonts w:cs="Arial"/>
          <w:lang w:eastAsia="en-US"/>
        </w:rPr>
        <w:t>.</w:t>
      </w:r>
    </w:p>
    <w:p w14:paraId="0D3707BC" w14:textId="77777777" w:rsidR="00EF4700" w:rsidRDefault="00EF4700" w:rsidP="00EF4700">
      <w:pPr>
        <w:spacing w:after="0"/>
      </w:pPr>
    </w:p>
    <w:p w14:paraId="13305D24" w14:textId="77777777" w:rsidR="005A39BD" w:rsidRDefault="007022DA" w:rsidP="008177D2">
      <w:pPr>
        <w:spacing w:after="0"/>
        <w:ind w:left="720" w:hanging="720"/>
      </w:pPr>
      <w:r>
        <w:t xml:space="preserve">5.2 </w:t>
      </w:r>
      <w:r w:rsidR="00AE6FBD">
        <w:tab/>
      </w:r>
      <w:r w:rsidR="00EF4700">
        <w:t>W</w:t>
      </w:r>
      <w:r w:rsidR="00FD3CD4" w:rsidRPr="000D01CD">
        <w:t>hilst</w:t>
      </w:r>
      <w:r w:rsidR="005A39BD" w:rsidRPr="000D01CD">
        <w:t xml:space="preserve"> Oxford</w:t>
      </w:r>
      <w:r w:rsidR="005A39BD">
        <w:t xml:space="preserve"> City has made a s</w:t>
      </w:r>
      <w:r w:rsidR="00FC419D">
        <w:t>tart there is still much to do</w:t>
      </w:r>
      <w:r w:rsidR="005A39BD">
        <w:t xml:space="preserve"> across the organisation. Issues that have arisen to date include:</w:t>
      </w:r>
    </w:p>
    <w:p w14:paraId="4171D724" w14:textId="77777777" w:rsidR="00846614" w:rsidRDefault="00846614" w:rsidP="00846614">
      <w:pPr>
        <w:spacing w:after="0"/>
      </w:pPr>
    </w:p>
    <w:p w14:paraId="4757483C" w14:textId="77777777" w:rsidR="005A39BD" w:rsidRDefault="005A39BD" w:rsidP="00B0470E">
      <w:pPr>
        <w:numPr>
          <w:ilvl w:val="0"/>
          <w:numId w:val="6"/>
        </w:numPr>
      </w:pPr>
      <w:r>
        <w:t xml:space="preserve">Risk of </w:t>
      </w:r>
      <w:r w:rsidRPr="00124E54">
        <w:t>Internal staff using old templates</w:t>
      </w:r>
      <w:r w:rsidR="00EF4700">
        <w:t>.</w:t>
      </w:r>
    </w:p>
    <w:p w14:paraId="7A7AFC90" w14:textId="77777777" w:rsidR="005A39BD" w:rsidRDefault="005A39BD" w:rsidP="00B0470E">
      <w:pPr>
        <w:numPr>
          <w:ilvl w:val="0"/>
          <w:numId w:val="6"/>
        </w:numPr>
      </w:pPr>
      <w:r>
        <w:t>Risk that Contract Managers will not ‘realise’ the benefits offered on tender proposals</w:t>
      </w:r>
      <w:r w:rsidR="00EF4700">
        <w:t>.</w:t>
      </w:r>
    </w:p>
    <w:p w14:paraId="5B380730" w14:textId="77777777" w:rsidR="005A39BD" w:rsidRPr="005A39BD" w:rsidRDefault="005A39BD" w:rsidP="00B0470E">
      <w:pPr>
        <w:numPr>
          <w:ilvl w:val="0"/>
          <w:numId w:val="6"/>
        </w:numPr>
        <w:autoSpaceDE w:val="0"/>
        <w:autoSpaceDN w:val="0"/>
        <w:adjustRightInd w:val="0"/>
        <w:jc w:val="both"/>
        <w:rPr>
          <w:rFonts w:cs="Arial"/>
          <w:color w:val="auto"/>
        </w:rPr>
      </w:pPr>
      <w:r>
        <w:rPr>
          <w:rFonts w:cs="Arial"/>
          <w:color w:val="auto"/>
        </w:rPr>
        <w:t>Tenderers proposals come in many different formats and often their proposals are difficult to place a value on in GBP</w:t>
      </w:r>
      <w:r w:rsidR="00282B7A">
        <w:rPr>
          <w:rFonts w:cs="Arial"/>
          <w:color w:val="auto"/>
        </w:rPr>
        <w:t>.</w:t>
      </w:r>
    </w:p>
    <w:p w14:paraId="0F78A56A" w14:textId="77777777" w:rsidR="005A39BD" w:rsidRPr="00091441" w:rsidRDefault="005A39BD" w:rsidP="00B0470E">
      <w:pPr>
        <w:numPr>
          <w:ilvl w:val="0"/>
          <w:numId w:val="6"/>
        </w:numPr>
        <w:autoSpaceDE w:val="0"/>
        <w:autoSpaceDN w:val="0"/>
        <w:adjustRightInd w:val="0"/>
        <w:jc w:val="both"/>
        <w:rPr>
          <w:rFonts w:cs="Arial"/>
          <w:color w:val="auto"/>
        </w:rPr>
      </w:pPr>
      <w:r w:rsidRPr="00091441">
        <w:rPr>
          <w:rFonts w:cs="Arial"/>
          <w:color w:val="auto"/>
        </w:rPr>
        <w:t>Social value should be linked to the subject-matter of the contract and proportionate to its requirements</w:t>
      </w:r>
      <w:r>
        <w:rPr>
          <w:rFonts w:cs="Arial"/>
          <w:color w:val="auto"/>
        </w:rPr>
        <w:t xml:space="preserve">, therefore case by case considerations </w:t>
      </w:r>
      <w:r w:rsidR="00D0284B">
        <w:rPr>
          <w:rFonts w:cs="Arial"/>
          <w:color w:val="auto"/>
        </w:rPr>
        <w:t xml:space="preserve">must be made </w:t>
      </w:r>
      <w:r>
        <w:rPr>
          <w:rFonts w:cs="Arial"/>
          <w:color w:val="auto"/>
        </w:rPr>
        <w:t>ensure relevant social value questions are included in the building of tender/quote documents.</w:t>
      </w:r>
    </w:p>
    <w:p w14:paraId="226E9958" w14:textId="77777777" w:rsidR="005A39BD" w:rsidRDefault="005A39BD" w:rsidP="00B0470E">
      <w:pPr>
        <w:numPr>
          <w:ilvl w:val="0"/>
          <w:numId w:val="6"/>
        </w:numPr>
        <w:autoSpaceDE w:val="0"/>
        <w:autoSpaceDN w:val="0"/>
        <w:adjustRightInd w:val="0"/>
        <w:jc w:val="both"/>
        <w:rPr>
          <w:rFonts w:cs="Arial"/>
          <w:color w:val="auto"/>
        </w:rPr>
      </w:pPr>
      <w:r>
        <w:rPr>
          <w:rFonts w:cs="Arial"/>
          <w:color w:val="auto"/>
        </w:rPr>
        <w:t>Balancing how we take into consideration and incorporate sustainability, ethical, environmental, social value and working with local SMEs and voluntary enterprises including Social Enterprises into Procurement exercises, as well as obtaining “value for money” and choosing the supplier that offers “the optimum combination” of whole life costs and benefits to meet our requirements.</w:t>
      </w:r>
    </w:p>
    <w:p w14:paraId="07FD838A" w14:textId="77777777" w:rsidR="005A39BD" w:rsidRDefault="005A39BD" w:rsidP="00B0470E">
      <w:pPr>
        <w:numPr>
          <w:ilvl w:val="0"/>
          <w:numId w:val="6"/>
        </w:numPr>
        <w:autoSpaceDE w:val="0"/>
        <w:autoSpaceDN w:val="0"/>
        <w:adjustRightInd w:val="0"/>
        <w:spacing w:after="240"/>
        <w:jc w:val="both"/>
        <w:rPr>
          <w:rFonts w:cs="Arial"/>
          <w:color w:val="auto"/>
        </w:rPr>
      </w:pPr>
      <w:r>
        <w:rPr>
          <w:rFonts w:cs="Arial"/>
          <w:color w:val="auto"/>
        </w:rPr>
        <w:t>We cannot insist a Supplier pays the Oxford Living wage (or, indeed, that it adopt any pure employment terms beyond those required by law). Problems arise where:</w:t>
      </w:r>
    </w:p>
    <w:p w14:paraId="23ABEBF3" w14:textId="77777777" w:rsidR="005A39BD" w:rsidRDefault="001F246A" w:rsidP="00B0470E">
      <w:pPr>
        <w:numPr>
          <w:ilvl w:val="0"/>
          <w:numId w:val="7"/>
        </w:numPr>
        <w:autoSpaceDE w:val="0"/>
        <w:autoSpaceDN w:val="0"/>
        <w:adjustRightInd w:val="0"/>
        <w:spacing w:after="240"/>
        <w:jc w:val="both"/>
        <w:rPr>
          <w:rFonts w:cs="Arial"/>
          <w:color w:val="auto"/>
        </w:rPr>
      </w:pPr>
      <w:r>
        <w:rPr>
          <w:rFonts w:cs="Arial"/>
          <w:color w:val="auto"/>
        </w:rPr>
        <w:t>S</w:t>
      </w:r>
      <w:r w:rsidR="005A39BD">
        <w:rPr>
          <w:rFonts w:cs="Arial"/>
          <w:color w:val="auto"/>
        </w:rPr>
        <w:t xml:space="preserve">taff </w:t>
      </w:r>
      <w:r>
        <w:rPr>
          <w:rFonts w:cs="Arial"/>
          <w:color w:val="auto"/>
        </w:rPr>
        <w:t xml:space="preserve">members </w:t>
      </w:r>
      <w:r w:rsidR="005A39BD">
        <w:rPr>
          <w:rFonts w:cs="Arial"/>
          <w:color w:val="auto"/>
        </w:rPr>
        <w:t>are employed to work on a mixture of contracts, not all of w</w:t>
      </w:r>
      <w:r w:rsidR="00FC419D">
        <w:rPr>
          <w:rFonts w:cs="Arial"/>
          <w:color w:val="auto"/>
        </w:rPr>
        <w:t>hich require the Oxford Living w</w:t>
      </w:r>
      <w:r w:rsidR="005A39BD">
        <w:rPr>
          <w:rFonts w:cs="Arial"/>
          <w:color w:val="auto"/>
        </w:rPr>
        <w:t>age to be paid.</w:t>
      </w:r>
    </w:p>
    <w:p w14:paraId="15878034" w14:textId="77777777" w:rsidR="005A39BD" w:rsidRDefault="005A39BD" w:rsidP="00B0470E">
      <w:pPr>
        <w:numPr>
          <w:ilvl w:val="0"/>
          <w:numId w:val="7"/>
        </w:numPr>
        <w:autoSpaceDE w:val="0"/>
        <w:autoSpaceDN w:val="0"/>
        <w:adjustRightInd w:val="0"/>
        <w:spacing w:after="240"/>
        <w:jc w:val="both"/>
        <w:rPr>
          <w:rFonts w:cs="Arial"/>
          <w:color w:val="auto"/>
        </w:rPr>
      </w:pPr>
      <w:r>
        <w:rPr>
          <w:rFonts w:cs="Arial"/>
          <w:color w:val="auto"/>
        </w:rPr>
        <w:t>Where only some suppliers named on Framework Agreements pay the Living Wage. The suppliers who don’t adopt it can win mini competitions on proposing lower prices.</w:t>
      </w:r>
      <w:r w:rsidR="00FC419D">
        <w:rPr>
          <w:rFonts w:cs="Arial"/>
          <w:color w:val="auto"/>
        </w:rPr>
        <w:t xml:space="preserve"> There is a risk of challenge from the losing supplier supporting our OLW scheme.</w:t>
      </w:r>
    </w:p>
    <w:p w14:paraId="0A4E03D7" w14:textId="77777777" w:rsidR="00EF4700" w:rsidRDefault="005A39BD" w:rsidP="00B0470E">
      <w:pPr>
        <w:numPr>
          <w:ilvl w:val="0"/>
          <w:numId w:val="6"/>
        </w:numPr>
        <w:autoSpaceDE w:val="0"/>
        <w:autoSpaceDN w:val="0"/>
        <w:adjustRightInd w:val="0"/>
        <w:spacing w:after="240"/>
        <w:jc w:val="both"/>
        <w:rPr>
          <w:rFonts w:cs="Arial"/>
          <w:color w:val="auto"/>
        </w:rPr>
      </w:pPr>
      <w:r>
        <w:rPr>
          <w:rFonts w:cs="Arial"/>
          <w:color w:val="auto"/>
        </w:rPr>
        <w:t>Contracting authorities cannot easily monitor adherence to the payment of the Oxford Living wage or be able to enforce it.</w:t>
      </w:r>
    </w:p>
    <w:p w14:paraId="6DF60461" w14:textId="77777777" w:rsidR="00D0284B" w:rsidRDefault="00D0284B" w:rsidP="00B0470E">
      <w:pPr>
        <w:numPr>
          <w:ilvl w:val="0"/>
          <w:numId w:val="6"/>
        </w:numPr>
        <w:autoSpaceDE w:val="0"/>
        <w:autoSpaceDN w:val="0"/>
        <w:adjustRightInd w:val="0"/>
        <w:spacing w:after="240"/>
        <w:jc w:val="both"/>
        <w:rPr>
          <w:rFonts w:cs="Arial"/>
          <w:color w:val="auto"/>
        </w:rPr>
      </w:pPr>
      <w:r>
        <w:rPr>
          <w:rFonts w:cs="Arial"/>
          <w:color w:val="auto"/>
        </w:rPr>
        <w:t>SME’s may be disadvantaged if the Council cannot effectively create a level playing field for the scoring of SV , Oxford Living Wage and various other elements</w:t>
      </w:r>
    </w:p>
    <w:p w14:paraId="1212DCB3" w14:textId="77777777" w:rsidR="00D0284B" w:rsidRDefault="00D0284B" w:rsidP="00B0470E">
      <w:pPr>
        <w:numPr>
          <w:ilvl w:val="0"/>
          <w:numId w:val="6"/>
        </w:numPr>
        <w:autoSpaceDE w:val="0"/>
        <w:autoSpaceDN w:val="0"/>
        <w:adjustRightInd w:val="0"/>
        <w:spacing w:after="240"/>
        <w:jc w:val="both"/>
        <w:rPr>
          <w:rFonts w:cs="Arial"/>
          <w:color w:val="auto"/>
        </w:rPr>
      </w:pPr>
      <w:r>
        <w:rPr>
          <w:rFonts w:cs="Arial"/>
          <w:color w:val="auto"/>
        </w:rPr>
        <w:t xml:space="preserve">Not all Contracts are awarded by Procurement and therefore </w:t>
      </w:r>
      <w:r w:rsidR="00282B7A">
        <w:rPr>
          <w:rFonts w:cs="Arial"/>
          <w:color w:val="auto"/>
        </w:rPr>
        <w:t xml:space="preserve">it is unlikely that </w:t>
      </w:r>
      <w:r>
        <w:rPr>
          <w:rFonts w:cs="Arial"/>
          <w:color w:val="auto"/>
        </w:rPr>
        <w:t xml:space="preserve">all Contracts have SV, Oxford Living wage, Modern slavery </w:t>
      </w:r>
      <w:r w:rsidR="000C07B1">
        <w:rPr>
          <w:rFonts w:cs="Arial"/>
          <w:color w:val="auto"/>
        </w:rPr>
        <w:t>etc.</w:t>
      </w:r>
      <w:r>
        <w:rPr>
          <w:rFonts w:cs="Arial"/>
          <w:color w:val="auto"/>
        </w:rPr>
        <w:t xml:space="preserve"> captured</w:t>
      </w:r>
      <w:r w:rsidR="00282B7A">
        <w:rPr>
          <w:rFonts w:cs="Arial"/>
          <w:color w:val="auto"/>
        </w:rPr>
        <w:t>.</w:t>
      </w:r>
    </w:p>
    <w:p w14:paraId="78A98262" w14:textId="77777777" w:rsidR="00282B7A" w:rsidRDefault="00282B7A" w:rsidP="00B0470E">
      <w:pPr>
        <w:numPr>
          <w:ilvl w:val="0"/>
          <w:numId w:val="6"/>
        </w:numPr>
        <w:autoSpaceDE w:val="0"/>
        <w:autoSpaceDN w:val="0"/>
        <w:adjustRightInd w:val="0"/>
        <w:spacing w:after="240"/>
        <w:jc w:val="both"/>
        <w:rPr>
          <w:rFonts w:cs="Arial"/>
          <w:color w:val="auto"/>
        </w:rPr>
      </w:pPr>
      <w:r>
        <w:rPr>
          <w:rFonts w:cs="Arial"/>
          <w:color w:val="auto"/>
        </w:rPr>
        <w:t>There does not appear to be a SV corporate policy encompassing a procurement element.</w:t>
      </w:r>
    </w:p>
    <w:p w14:paraId="19FBF51F" w14:textId="77777777" w:rsidR="00282B7A" w:rsidRDefault="00282B7A" w:rsidP="00B0470E">
      <w:pPr>
        <w:numPr>
          <w:ilvl w:val="0"/>
          <w:numId w:val="6"/>
        </w:numPr>
        <w:autoSpaceDE w:val="0"/>
        <w:autoSpaceDN w:val="0"/>
        <w:adjustRightInd w:val="0"/>
        <w:spacing w:after="240"/>
        <w:jc w:val="both"/>
        <w:rPr>
          <w:rFonts w:cs="Arial"/>
          <w:color w:val="auto"/>
        </w:rPr>
      </w:pPr>
      <w:r>
        <w:rPr>
          <w:rFonts w:cs="Arial"/>
          <w:color w:val="auto"/>
        </w:rPr>
        <w:t xml:space="preserve">Other Councils and partnerships may be experiencing the same issues and it may be pragmatic to work with those organisations to create </w:t>
      </w:r>
      <w:r w:rsidR="00016FC4">
        <w:rPr>
          <w:rFonts w:cs="Arial"/>
          <w:color w:val="auto"/>
        </w:rPr>
        <w:t>an</w:t>
      </w:r>
      <w:r>
        <w:rPr>
          <w:rFonts w:cs="Arial"/>
          <w:color w:val="auto"/>
        </w:rPr>
        <w:t xml:space="preserve"> Oxford wide policy.</w:t>
      </w:r>
    </w:p>
    <w:p w14:paraId="71F76220" w14:textId="77777777" w:rsidR="005D7D94" w:rsidRDefault="005D7D94" w:rsidP="00B0470E">
      <w:pPr>
        <w:numPr>
          <w:ilvl w:val="0"/>
          <w:numId w:val="6"/>
        </w:numPr>
        <w:autoSpaceDE w:val="0"/>
        <w:autoSpaceDN w:val="0"/>
        <w:adjustRightInd w:val="0"/>
        <w:spacing w:after="240"/>
        <w:jc w:val="both"/>
        <w:rPr>
          <w:rFonts w:cs="Arial"/>
          <w:color w:val="auto"/>
        </w:rPr>
      </w:pPr>
      <w:r>
        <w:rPr>
          <w:rFonts w:cs="Arial"/>
          <w:color w:val="auto"/>
        </w:rPr>
        <w:t>If too much weighting is placed on SV, Oxford Living Wage, Environmental impacts etc. it may mean that a supplier is selected who scores highly in this area, but who may not be technically better or provide best value for money to the Council</w:t>
      </w:r>
    </w:p>
    <w:p w14:paraId="3A7C6AD9" w14:textId="77777777" w:rsidR="00AA1FAE" w:rsidRDefault="007022DA" w:rsidP="008177D2">
      <w:pPr>
        <w:ind w:left="720" w:hanging="720"/>
      </w:pPr>
      <w:r>
        <w:t xml:space="preserve">5.3 </w:t>
      </w:r>
      <w:r w:rsidR="00493809">
        <w:tab/>
      </w:r>
      <w:r w:rsidR="0021258F">
        <w:t xml:space="preserve">Within the report </w:t>
      </w:r>
      <w:r w:rsidR="00AA1FAE">
        <w:t xml:space="preserve">from Finance </w:t>
      </w:r>
      <w:r w:rsidR="0021258F">
        <w:t xml:space="preserve">a number of other recommendations were </w:t>
      </w:r>
      <w:r w:rsidR="00AA1FAE">
        <w:t>put forward for consideration</w:t>
      </w:r>
      <w:r w:rsidR="00EF4700">
        <w:t>,</w:t>
      </w:r>
      <w:r w:rsidR="00AA1FAE">
        <w:t xml:space="preserve"> although little work has been undertaken on these areas to date</w:t>
      </w:r>
      <w:r w:rsidR="0021258F">
        <w:t>.</w:t>
      </w:r>
      <w:r w:rsidR="001F246A">
        <w:t xml:space="preserve"> These include</w:t>
      </w:r>
      <w:r w:rsidR="00AA1FAE">
        <w:t>:</w:t>
      </w:r>
    </w:p>
    <w:p w14:paraId="521BDF2C" w14:textId="77777777" w:rsidR="0021258F" w:rsidRDefault="00AA1FAE" w:rsidP="00B0470E">
      <w:pPr>
        <w:pStyle w:val="ListParagraph"/>
        <w:numPr>
          <w:ilvl w:val="0"/>
          <w:numId w:val="6"/>
        </w:numPr>
      </w:pPr>
      <w:r w:rsidRPr="00EB5161">
        <w:t>To update all Environmental/Sustainable/Ethical Policies to include more details on the requirements of the SV Act</w:t>
      </w:r>
    </w:p>
    <w:p w14:paraId="124D7ABF" w14:textId="77777777" w:rsidR="00AA1FAE" w:rsidRDefault="00AA1FAE" w:rsidP="00B0470E">
      <w:pPr>
        <w:pStyle w:val="ListParagraph"/>
        <w:numPr>
          <w:ilvl w:val="0"/>
          <w:numId w:val="6"/>
        </w:numPr>
      </w:pPr>
      <w:r w:rsidRPr="007D1CBF">
        <w:t>The Council should seek to implement the Green Public Procurement Policy on all spends</w:t>
      </w:r>
    </w:p>
    <w:p w14:paraId="416AAA1C" w14:textId="77777777" w:rsidR="003103C2" w:rsidRDefault="003103C2" w:rsidP="00B0470E">
      <w:pPr>
        <w:pStyle w:val="ListParagraph"/>
        <w:numPr>
          <w:ilvl w:val="0"/>
          <w:numId w:val="6"/>
        </w:numPr>
      </w:pPr>
      <w:r w:rsidRPr="00EB5161">
        <w:t>For the Council to consider paying</w:t>
      </w:r>
      <w:r w:rsidR="00FC419D">
        <w:t xml:space="preserve"> </w:t>
      </w:r>
      <w:r w:rsidR="00FC419D" w:rsidRPr="00BC07A3">
        <w:t>all</w:t>
      </w:r>
      <w:r w:rsidRPr="00EB5161">
        <w:t xml:space="preserve"> SME’s and Voluntary Community Sector (to include Social Enterprises) within 14 days, as we do currently for Local companies</w:t>
      </w:r>
      <w:r w:rsidR="00A66663">
        <w:t>.</w:t>
      </w:r>
    </w:p>
    <w:p w14:paraId="340CBAE8" w14:textId="77777777" w:rsidR="00F0573A" w:rsidRDefault="00F0573A" w:rsidP="00F0573A">
      <w:pPr>
        <w:pStyle w:val="ListParagraph"/>
        <w:numPr>
          <w:ilvl w:val="0"/>
          <w:numId w:val="0"/>
        </w:numPr>
        <w:ind w:left="720"/>
      </w:pPr>
    </w:p>
    <w:p w14:paraId="676B1BBD" w14:textId="77777777" w:rsidR="005A39BD" w:rsidRDefault="005A39BD" w:rsidP="00DC3923">
      <w:pPr>
        <w:pStyle w:val="Heading1"/>
      </w:pPr>
      <w:r w:rsidRPr="005A39BD">
        <w:t xml:space="preserve">Future Goals and Milestones </w:t>
      </w:r>
    </w:p>
    <w:p w14:paraId="13140A1D" w14:textId="77777777" w:rsidR="00BF5CF7" w:rsidRDefault="007022DA" w:rsidP="008177D2">
      <w:pPr>
        <w:pStyle w:val="ListParagraph"/>
        <w:numPr>
          <w:ilvl w:val="0"/>
          <w:numId w:val="0"/>
        </w:numPr>
        <w:ind w:left="720" w:hanging="720"/>
      </w:pPr>
      <w:r>
        <w:t xml:space="preserve">6.1 </w:t>
      </w:r>
      <w:r w:rsidR="00493809">
        <w:tab/>
      </w:r>
      <w:r w:rsidR="00493809">
        <w:tab/>
      </w:r>
      <w:r w:rsidR="00766D47">
        <w:t>Whilst some good progress has been undertaken to date on establishing Social Value offered by suppliers the</w:t>
      </w:r>
      <w:r w:rsidR="000901F9">
        <w:t>re is more to be done. It is an</w:t>
      </w:r>
      <w:r w:rsidR="00766D47">
        <w:t xml:space="preserve"> area which is</w:t>
      </w:r>
      <w:r w:rsidR="00BF5CF7">
        <w:t xml:space="preserve"> taxing most local authorities, whilst they understand the principles they have yet to start implementing it in</w:t>
      </w:r>
      <w:r w:rsidR="00766D47">
        <w:t xml:space="preserve"> earnest</w:t>
      </w:r>
      <w:r w:rsidR="00BF5CF7">
        <w:t xml:space="preserve">, by benchmarking our local and District Councils we feel Oxford City Council has made an earnest effort to implement it with </w:t>
      </w:r>
      <w:r w:rsidR="00F0573A">
        <w:t xml:space="preserve">further </w:t>
      </w:r>
      <w:r w:rsidR="00BF5CF7">
        <w:t>improvements defined for 2020</w:t>
      </w:r>
      <w:r w:rsidR="00F0573A">
        <w:t>.</w:t>
      </w:r>
    </w:p>
    <w:p w14:paraId="02D4B5F5" w14:textId="77777777" w:rsidR="000643F5" w:rsidRPr="00C90068" w:rsidRDefault="00C90068" w:rsidP="00C90068">
      <w:pPr>
        <w:ind w:left="709" w:hanging="709"/>
      </w:pPr>
      <w:r>
        <w:rPr>
          <w:rFonts w:cs="Arial"/>
        </w:rPr>
        <w:t>6.2</w:t>
      </w:r>
      <w:r>
        <w:rPr>
          <w:rFonts w:cs="Arial"/>
        </w:rPr>
        <w:tab/>
      </w:r>
      <w:r w:rsidRPr="00C90068">
        <w:rPr>
          <w:rFonts w:cs="Arial"/>
        </w:rPr>
        <w:t xml:space="preserve">A survey of our neighbouring authorities indicates that some </w:t>
      </w:r>
      <w:r w:rsidR="000643F5" w:rsidRPr="00C90068">
        <w:rPr>
          <w:rFonts w:cs="Arial"/>
        </w:rPr>
        <w:t>do not have any firm processes for dealing with the Social</w:t>
      </w:r>
      <w:r w:rsidR="00BF5CF7" w:rsidRPr="00C90068">
        <w:rPr>
          <w:rFonts w:cs="Arial"/>
        </w:rPr>
        <w:t xml:space="preserve"> Value element of </w:t>
      </w:r>
      <w:proofErr w:type="gramStart"/>
      <w:r w:rsidR="00BF5CF7" w:rsidRPr="00C90068">
        <w:rPr>
          <w:rFonts w:cs="Arial"/>
        </w:rPr>
        <w:t>procurement</w:t>
      </w:r>
      <w:r w:rsidRPr="00C90068">
        <w:rPr>
          <w:rFonts w:cs="Arial"/>
        </w:rPr>
        <w:t>,</w:t>
      </w:r>
      <w:proofErr w:type="gramEnd"/>
      <w:r w:rsidRPr="00C90068">
        <w:rPr>
          <w:rFonts w:cs="Arial"/>
        </w:rPr>
        <w:t xml:space="preserve"> whilst others </w:t>
      </w:r>
      <w:r w:rsidR="00BF5CF7" w:rsidRPr="00C90068">
        <w:t>do not have mandatory weightings but ask around social value in individual procurement projects according to what it is they are sourcing and whether S</w:t>
      </w:r>
      <w:r w:rsidR="00BC07A3" w:rsidRPr="00C90068">
        <w:t xml:space="preserve">ocial </w:t>
      </w:r>
      <w:r w:rsidR="00BF5CF7" w:rsidRPr="00C90068">
        <w:t>V</w:t>
      </w:r>
      <w:r w:rsidR="00BC07A3" w:rsidRPr="00C90068">
        <w:t>alue</w:t>
      </w:r>
      <w:r w:rsidR="00BF5CF7" w:rsidRPr="00C90068">
        <w:t xml:space="preserve"> </w:t>
      </w:r>
      <w:r w:rsidRPr="00C90068">
        <w:t>is relevant.</w:t>
      </w:r>
    </w:p>
    <w:p w14:paraId="35552D0E" w14:textId="77777777" w:rsidR="000901F9" w:rsidRDefault="00C90068" w:rsidP="008177D2">
      <w:pPr>
        <w:pStyle w:val="ListParagraph"/>
        <w:numPr>
          <w:ilvl w:val="0"/>
          <w:numId w:val="0"/>
        </w:numPr>
        <w:ind w:left="709" w:hanging="709"/>
      </w:pPr>
      <w:r>
        <w:t>6.3</w:t>
      </w:r>
      <w:r w:rsidR="00F0573A">
        <w:t xml:space="preserve"> </w:t>
      </w:r>
      <w:r w:rsidR="00826C35">
        <w:tab/>
      </w:r>
      <w:r w:rsidR="00826C35">
        <w:tab/>
      </w:r>
      <w:r w:rsidR="00766D47">
        <w:t>The Councils Procurement Strategy is in the process of being redrafted and social value and green procurement will form a major part of this strategy going forward. Future actions over the c</w:t>
      </w:r>
      <w:r w:rsidR="00F0573A">
        <w:t>oming 12 months are shown below</w:t>
      </w:r>
      <w:r w:rsidR="00766D47">
        <w:t>:</w:t>
      </w:r>
    </w:p>
    <w:p w14:paraId="1FAE3CA5" w14:textId="77777777" w:rsidR="00F0573A" w:rsidRPr="005A39BD" w:rsidRDefault="00F0573A" w:rsidP="00F0573A">
      <w:pPr>
        <w:pStyle w:val="ListParagraph"/>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864"/>
        <w:gridCol w:w="1985"/>
      </w:tblGrid>
      <w:tr w:rsidR="00766D47" w14:paraId="76A53528" w14:textId="77777777" w:rsidTr="00766D47">
        <w:tc>
          <w:tcPr>
            <w:tcW w:w="4077" w:type="dxa"/>
            <w:shd w:val="clear" w:color="auto" w:fill="auto"/>
            <w:vAlign w:val="center"/>
          </w:tcPr>
          <w:p w14:paraId="7A594627" w14:textId="77777777" w:rsidR="00766D47" w:rsidRPr="007D1CBF" w:rsidRDefault="00766D47" w:rsidP="005A39BD">
            <w:pPr>
              <w:rPr>
                <w:b/>
              </w:rPr>
            </w:pPr>
            <w:r w:rsidRPr="007D1CBF">
              <w:rPr>
                <w:b/>
              </w:rPr>
              <w:t>Milestone Description</w:t>
            </w:r>
          </w:p>
        </w:tc>
        <w:tc>
          <w:tcPr>
            <w:tcW w:w="2864" w:type="dxa"/>
            <w:shd w:val="clear" w:color="auto" w:fill="auto"/>
            <w:vAlign w:val="center"/>
          </w:tcPr>
          <w:p w14:paraId="4DE5398F" w14:textId="77777777" w:rsidR="00766D47" w:rsidRPr="007D1CBF" w:rsidRDefault="00766D47" w:rsidP="005A39BD">
            <w:pPr>
              <w:jc w:val="center"/>
              <w:rPr>
                <w:b/>
              </w:rPr>
            </w:pPr>
            <w:r w:rsidRPr="007D1CBF">
              <w:rPr>
                <w:b/>
              </w:rPr>
              <w:t>Target Date</w:t>
            </w:r>
          </w:p>
        </w:tc>
        <w:tc>
          <w:tcPr>
            <w:tcW w:w="1985" w:type="dxa"/>
            <w:shd w:val="clear" w:color="auto" w:fill="auto"/>
            <w:vAlign w:val="center"/>
          </w:tcPr>
          <w:p w14:paraId="6DDDF24C" w14:textId="77777777" w:rsidR="00766D47" w:rsidRPr="007D1CBF" w:rsidRDefault="00766D47" w:rsidP="005A39BD">
            <w:pPr>
              <w:jc w:val="center"/>
              <w:rPr>
                <w:b/>
              </w:rPr>
            </w:pPr>
            <w:r w:rsidRPr="007D1CBF">
              <w:rPr>
                <w:b/>
              </w:rPr>
              <w:t>% Complete</w:t>
            </w:r>
          </w:p>
        </w:tc>
      </w:tr>
      <w:tr w:rsidR="00766D47" w14:paraId="11C1C78F" w14:textId="77777777" w:rsidTr="00766D47">
        <w:tc>
          <w:tcPr>
            <w:tcW w:w="4077" w:type="dxa"/>
            <w:shd w:val="clear" w:color="auto" w:fill="auto"/>
            <w:vAlign w:val="center"/>
          </w:tcPr>
          <w:p w14:paraId="3AF540EF" w14:textId="77777777" w:rsidR="00766D47" w:rsidRPr="007D1CBF" w:rsidRDefault="00766D47" w:rsidP="005A39BD">
            <w:r>
              <w:t>Redraft Procurement Strategy</w:t>
            </w:r>
          </w:p>
        </w:tc>
        <w:tc>
          <w:tcPr>
            <w:tcW w:w="2864" w:type="dxa"/>
            <w:shd w:val="clear" w:color="auto" w:fill="auto"/>
            <w:vAlign w:val="center"/>
          </w:tcPr>
          <w:p w14:paraId="6DC8DEF9" w14:textId="77777777" w:rsidR="00766D47" w:rsidRPr="007D1CBF" w:rsidRDefault="00766D47" w:rsidP="005A39BD">
            <w:pPr>
              <w:jc w:val="center"/>
            </w:pPr>
            <w:r>
              <w:t>April 2020</w:t>
            </w:r>
          </w:p>
        </w:tc>
        <w:tc>
          <w:tcPr>
            <w:tcW w:w="1985" w:type="dxa"/>
            <w:shd w:val="clear" w:color="auto" w:fill="auto"/>
            <w:vAlign w:val="center"/>
          </w:tcPr>
          <w:p w14:paraId="4E1EE19B" w14:textId="77777777" w:rsidR="00766D47" w:rsidRPr="007D1CBF" w:rsidRDefault="00766D47" w:rsidP="005A39BD">
            <w:pPr>
              <w:jc w:val="center"/>
            </w:pPr>
            <w:r>
              <w:t>20%</w:t>
            </w:r>
          </w:p>
        </w:tc>
      </w:tr>
      <w:tr w:rsidR="00766D47" w14:paraId="120AA97E" w14:textId="77777777" w:rsidTr="00766D47">
        <w:tc>
          <w:tcPr>
            <w:tcW w:w="4077" w:type="dxa"/>
            <w:shd w:val="clear" w:color="auto" w:fill="auto"/>
            <w:vAlign w:val="center"/>
          </w:tcPr>
          <w:p w14:paraId="52118108" w14:textId="77777777" w:rsidR="00766D47" w:rsidRPr="007D1CBF" w:rsidRDefault="00766D47" w:rsidP="005A39BD">
            <w:r w:rsidRPr="007D1CBF">
              <w:t>Apply the Green Public Procurement Policy in the  Procurement Strategy for 2020</w:t>
            </w:r>
          </w:p>
        </w:tc>
        <w:tc>
          <w:tcPr>
            <w:tcW w:w="2864" w:type="dxa"/>
            <w:shd w:val="clear" w:color="auto" w:fill="auto"/>
            <w:vAlign w:val="center"/>
          </w:tcPr>
          <w:p w14:paraId="048FDFB5" w14:textId="77777777" w:rsidR="00766D47" w:rsidRPr="007D1CBF" w:rsidRDefault="00FC419D" w:rsidP="005A39BD">
            <w:pPr>
              <w:jc w:val="center"/>
            </w:pPr>
            <w:r>
              <w:t xml:space="preserve">December </w:t>
            </w:r>
            <w:r w:rsidR="00766D47" w:rsidRPr="007D1CBF">
              <w:t>2020</w:t>
            </w:r>
          </w:p>
        </w:tc>
        <w:tc>
          <w:tcPr>
            <w:tcW w:w="1985" w:type="dxa"/>
            <w:shd w:val="clear" w:color="auto" w:fill="auto"/>
            <w:vAlign w:val="center"/>
          </w:tcPr>
          <w:p w14:paraId="1E85E764" w14:textId="77777777" w:rsidR="00766D47" w:rsidRPr="007D1CBF" w:rsidRDefault="00766D47" w:rsidP="005A39BD">
            <w:pPr>
              <w:jc w:val="center"/>
            </w:pPr>
            <w:r>
              <w:t>10%</w:t>
            </w:r>
          </w:p>
        </w:tc>
      </w:tr>
      <w:tr w:rsidR="00766D47" w14:paraId="432A7733" w14:textId="77777777" w:rsidTr="00766D47">
        <w:tc>
          <w:tcPr>
            <w:tcW w:w="4077" w:type="dxa"/>
            <w:shd w:val="clear" w:color="auto" w:fill="auto"/>
            <w:vAlign w:val="center"/>
          </w:tcPr>
          <w:p w14:paraId="3E150929" w14:textId="77777777" w:rsidR="00766D47" w:rsidRPr="007D1CBF" w:rsidRDefault="00766D47" w:rsidP="005D7D94">
            <w:r w:rsidRPr="007D1CBF">
              <w:t>On award</w:t>
            </w:r>
            <w:r w:rsidR="005D7D94">
              <w:t xml:space="preserve">, </w:t>
            </w:r>
            <w:r w:rsidRPr="007D1CBF">
              <w:t xml:space="preserve">contract handover document to include any </w:t>
            </w:r>
            <w:r>
              <w:t>Social Value</w:t>
            </w:r>
            <w:r w:rsidRPr="007D1CBF">
              <w:t xml:space="preserve"> benefits proposed</w:t>
            </w:r>
          </w:p>
        </w:tc>
        <w:tc>
          <w:tcPr>
            <w:tcW w:w="2864" w:type="dxa"/>
            <w:shd w:val="clear" w:color="auto" w:fill="auto"/>
            <w:vAlign w:val="center"/>
          </w:tcPr>
          <w:p w14:paraId="480D4130" w14:textId="77777777" w:rsidR="00766D47" w:rsidRPr="007D1CBF" w:rsidRDefault="00FC419D" w:rsidP="005A39BD">
            <w:pPr>
              <w:jc w:val="center"/>
            </w:pPr>
            <w:r>
              <w:t>February</w:t>
            </w:r>
            <w:r w:rsidR="00766D47" w:rsidRPr="007D1CBF">
              <w:t xml:space="preserve"> 2020</w:t>
            </w:r>
          </w:p>
        </w:tc>
        <w:tc>
          <w:tcPr>
            <w:tcW w:w="1985" w:type="dxa"/>
            <w:shd w:val="clear" w:color="auto" w:fill="auto"/>
            <w:vAlign w:val="center"/>
          </w:tcPr>
          <w:p w14:paraId="3F8A995E" w14:textId="77777777" w:rsidR="00766D47" w:rsidRPr="007D1CBF" w:rsidRDefault="00FC419D" w:rsidP="005A39BD">
            <w:pPr>
              <w:jc w:val="center"/>
            </w:pPr>
            <w:r>
              <w:t>25%</w:t>
            </w:r>
          </w:p>
        </w:tc>
      </w:tr>
      <w:tr w:rsidR="00766D47" w14:paraId="2411E05B" w14:textId="77777777" w:rsidTr="00766D47">
        <w:tc>
          <w:tcPr>
            <w:tcW w:w="4077" w:type="dxa"/>
            <w:shd w:val="clear" w:color="auto" w:fill="auto"/>
            <w:vAlign w:val="center"/>
          </w:tcPr>
          <w:p w14:paraId="4F2BC761" w14:textId="77777777" w:rsidR="00766D47" w:rsidRPr="007D1CBF" w:rsidRDefault="00766D47" w:rsidP="005A39BD">
            <w:r w:rsidRPr="007D1CBF">
              <w:t>Contract Management training to include the benefits of realising SV</w:t>
            </w:r>
          </w:p>
        </w:tc>
        <w:tc>
          <w:tcPr>
            <w:tcW w:w="2864" w:type="dxa"/>
            <w:shd w:val="clear" w:color="auto" w:fill="auto"/>
            <w:vAlign w:val="center"/>
          </w:tcPr>
          <w:p w14:paraId="5D8CA4A3" w14:textId="77777777" w:rsidR="00766D47" w:rsidRPr="007D1CBF" w:rsidRDefault="00766D47" w:rsidP="005A39BD">
            <w:pPr>
              <w:jc w:val="center"/>
            </w:pPr>
            <w:r w:rsidRPr="007D1CBF">
              <w:t>Start February 2020</w:t>
            </w:r>
          </w:p>
        </w:tc>
        <w:tc>
          <w:tcPr>
            <w:tcW w:w="1985" w:type="dxa"/>
            <w:shd w:val="clear" w:color="auto" w:fill="auto"/>
            <w:vAlign w:val="center"/>
          </w:tcPr>
          <w:p w14:paraId="7794D73B" w14:textId="77777777" w:rsidR="00766D47" w:rsidRPr="007D1CBF" w:rsidRDefault="00766D47" w:rsidP="005A39BD">
            <w:pPr>
              <w:jc w:val="center"/>
            </w:pPr>
            <w:r>
              <w:t>0%</w:t>
            </w:r>
          </w:p>
        </w:tc>
      </w:tr>
      <w:tr w:rsidR="00766D47" w14:paraId="32064775" w14:textId="77777777" w:rsidTr="00766D47">
        <w:tc>
          <w:tcPr>
            <w:tcW w:w="4077" w:type="dxa"/>
            <w:shd w:val="clear" w:color="auto" w:fill="auto"/>
          </w:tcPr>
          <w:p w14:paraId="5CD8C884" w14:textId="77777777" w:rsidR="00766D47" w:rsidRPr="007D1CBF" w:rsidRDefault="00766D47" w:rsidP="00394B5F">
            <w:r w:rsidRPr="007D1CBF">
              <w:t>‘Meet the Buyer’ event to include Voluntary Community and Social Enterprise sector</w:t>
            </w:r>
          </w:p>
        </w:tc>
        <w:tc>
          <w:tcPr>
            <w:tcW w:w="2864" w:type="dxa"/>
            <w:shd w:val="clear" w:color="auto" w:fill="auto"/>
          </w:tcPr>
          <w:p w14:paraId="03915868" w14:textId="77777777" w:rsidR="00766D47" w:rsidRPr="007D1CBF" w:rsidRDefault="00766D47" w:rsidP="00394B5F">
            <w:pPr>
              <w:jc w:val="center"/>
            </w:pPr>
          </w:p>
          <w:p w14:paraId="79F94932" w14:textId="77777777" w:rsidR="00766D47" w:rsidRPr="007D1CBF" w:rsidRDefault="00FC419D" w:rsidP="00394B5F">
            <w:pPr>
              <w:jc w:val="center"/>
            </w:pPr>
            <w:r>
              <w:t xml:space="preserve">April </w:t>
            </w:r>
            <w:r w:rsidR="00766D47" w:rsidRPr="007D1CBF">
              <w:t>2020</w:t>
            </w:r>
          </w:p>
        </w:tc>
        <w:tc>
          <w:tcPr>
            <w:tcW w:w="1985" w:type="dxa"/>
            <w:shd w:val="clear" w:color="auto" w:fill="auto"/>
          </w:tcPr>
          <w:p w14:paraId="6B7A04F0" w14:textId="77777777" w:rsidR="00766D47" w:rsidRDefault="00766D47" w:rsidP="00394B5F"/>
          <w:p w14:paraId="431C5C1B" w14:textId="77777777" w:rsidR="00766D47" w:rsidRPr="007D1CBF" w:rsidRDefault="00766D47" w:rsidP="00766D47">
            <w:pPr>
              <w:jc w:val="center"/>
            </w:pPr>
            <w:r>
              <w:t>20%</w:t>
            </w:r>
          </w:p>
        </w:tc>
      </w:tr>
      <w:tr w:rsidR="00766D47" w14:paraId="00FFCC74" w14:textId="77777777" w:rsidTr="00766D47">
        <w:tc>
          <w:tcPr>
            <w:tcW w:w="4077" w:type="dxa"/>
            <w:shd w:val="clear" w:color="auto" w:fill="auto"/>
          </w:tcPr>
          <w:p w14:paraId="35F03091" w14:textId="77777777" w:rsidR="00766D47" w:rsidRPr="007D1CBF" w:rsidRDefault="00766D47" w:rsidP="00394B5F">
            <w:r w:rsidRPr="007D1CBF">
              <w:t xml:space="preserve">Review 4 toolkits to aid embedding </w:t>
            </w:r>
            <w:r>
              <w:t>SV</w:t>
            </w:r>
            <w:r w:rsidRPr="007D1CBF">
              <w:t xml:space="preserve"> and working with Voluntary and Social Enterprises into all procurement processes from pre tender to realising the benefits</w:t>
            </w:r>
          </w:p>
        </w:tc>
        <w:tc>
          <w:tcPr>
            <w:tcW w:w="2864" w:type="dxa"/>
            <w:shd w:val="clear" w:color="auto" w:fill="auto"/>
          </w:tcPr>
          <w:p w14:paraId="5A83F514" w14:textId="77777777" w:rsidR="00766D47" w:rsidRPr="007D1CBF" w:rsidRDefault="00766D47" w:rsidP="00394B5F">
            <w:pPr>
              <w:jc w:val="center"/>
            </w:pPr>
          </w:p>
          <w:p w14:paraId="135DE845" w14:textId="77777777" w:rsidR="00766D47" w:rsidRPr="007D1CBF" w:rsidRDefault="00FC419D" w:rsidP="005A39BD">
            <w:pPr>
              <w:jc w:val="center"/>
            </w:pPr>
            <w:r>
              <w:t>September</w:t>
            </w:r>
            <w:r w:rsidR="00766D47">
              <w:t xml:space="preserve"> </w:t>
            </w:r>
            <w:r w:rsidR="00766D47" w:rsidRPr="007D1CBF">
              <w:t>2020</w:t>
            </w:r>
          </w:p>
        </w:tc>
        <w:tc>
          <w:tcPr>
            <w:tcW w:w="1985" w:type="dxa"/>
            <w:shd w:val="clear" w:color="auto" w:fill="auto"/>
          </w:tcPr>
          <w:p w14:paraId="14A4570A" w14:textId="77777777" w:rsidR="00766D47" w:rsidRDefault="00766D47" w:rsidP="00394B5F">
            <w:pPr>
              <w:jc w:val="center"/>
            </w:pPr>
          </w:p>
          <w:p w14:paraId="7FABE868" w14:textId="77777777" w:rsidR="00766D47" w:rsidRPr="007D1CBF" w:rsidRDefault="00766D47" w:rsidP="00394B5F">
            <w:pPr>
              <w:jc w:val="center"/>
            </w:pPr>
            <w:r w:rsidRPr="007D1CBF">
              <w:t>25%</w:t>
            </w:r>
          </w:p>
        </w:tc>
      </w:tr>
      <w:tr w:rsidR="00766D47" w14:paraId="370B0D60" w14:textId="77777777" w:rsidTr="00766D47">
        <w:tc>
          <w:tcPr>
            <w:tcW w:w="4077" w:type="dxa"/>
            <w:shd w:val="clear" w:color="auto" w:fill="auto"/>
            <w:vAlign w:val="center"/>
          </w:tcPr>
          <w:p w14:paraId="70533C8E" w14:textId="77777777" w:rsidR="00766D47" w:rsidRPr="007D1CBF" w:rsidRDefault="00766D47" w:rsidP="005A39BD">
            <w:r>
              <w:t>All RFQ contracts SV responses to be detailed on the Contracts Register on set up of contract/supplier</w:t>
            </w:r>
          </w:p>
        </w:tc>
        <w:tc>
          <w:tcPr>
            <w:tcW w:w="2864" w:type="dxa"/>
            <w:shd w:val="clear" w:color="auto" w:fill="auto"/>
            <w:vAlign w:val="center"/>
          </w:tcPr>
          <w:p w14:paraId="4446F931" w14:textId="77777777" w:rsidR="00766D47" w:rsidRPr="007D1CBF" w:rsidRDefault="00FC419D" w:rsidP="005A39BD">
            <w:pPr>
              <w:jc w:val="center"/>
            </w:pPr>
            <w:r>
              <w:t>April</w:t>
            </w:r>
            <w:r w:rsidR="00766D47">
              <w:t xml:space="preserve"> 2020</w:t>
            </w:r>
          </w:p>
        </w:tc>
        <w:tc>
          <w:tcPr>
            <w:tcW w:w="1985" w:type="dxa"/>
            <w:shd w:val="clear" w:color="auto" w:fill="auto"/>
            <w:vAlign w:val="center"/>
          </w:tcPr>
          <w:p w14:paraId="71D29780" w14:textId="77777777" w:rsidR="00766D47" w:rsidRPr="007D1CBF" w:rsidRDefault="00766D47" w:rsidP="005A39BD">
            <w:pPr>
              <w:jc w:val="center"/>
            </w:pPr>
            <w:r>
              <w:t>25%</w:t>
            </w:r>
          </w:p>
        </w:tc>
      </w:tr>
      <w:tr w:rsidR="00766D47" w:rsidRPr="007D1CBF" w14:paraId="3687DFBC" w14:textId="77777777" w:rsidTr="00766D47">
        <w:tc>
          <w:tcPr>
            <w:tcW w:w="4077" w:type="dxa"/>
            <w:shd w:val="clear" w:color="auto" w:fill="auto"/>
          </w:tcPr>
          <w:p w14:paraId="3E0CE9BA" w14:textId="77777777" w:rsidR="00766D47" w:rsidRPr="007D1CBF" w:rsidRDefault="005D7D94" w:rsidP="00394B5F">
            <w:r>
              <w:t xml:space="preserve">Consider </w:t>
            </w:r>
            <w:r w:rsidR="00016FC4">
              <w:t>i</w:t>
            </w:r>
            <w:r w:rsidR="00766D47" w:rsidRPr="007D1CBF">
              <w:t>ncreas</w:t>
            </w:r>
            <w:r>
              <w:t>ing</w:t>
            </w:r>
            <w:r w:rsidR="00766D47" w:rsidRPr="007D1CBF">
              <w:t xml:space="preserve"> Social Value weighting to 10%</w:t>
            </w:r>
            <w:r>
              <w:t xml:space="preserve"> where relevant and proportiona</w:t>
            </w:r>
            <w:r w:rsidR="00016FC4">
              <w:t>te</w:t>
            </w:r>
          </w:p>
        </w:tc>
        <w:tc>
          <w:tcPr>
            <w:tcW w:w="2864" w:type="dxa"/>
            <w:shd w:val="clear" w:color="auto" w:fill="auto"/>
          </w:tcPr>
          <w:p w14:paraId="106F53D9" w14:textId="77777777" w:rsidR="00766D47" w:rsidRPr="007D1CBF" w:rsidRDefault="00766D47" w:rsidP="00394B5F">
            <w:pPr>
              <w:jc w:val="center"/>
            </w:pPr>
            <w:r w:rsidRPr="007D1CBF">
              <w:t>December 2020</w:t>
            </w:r>
          </w:p>
        </w:tc>
        <w:tc>
          <w:tcPr>
            <w:tcW w:w="1985" w:type="dxa"/>
            <w:shd w:val="clear" w:color="auto" w:fill="auto"/>
          </w:tcPr>
          <w:p w14:paraId="19F0660E" w14:textId="77777777" w:rsidR="00766D47" w:rsidRPr="007D1CBF" w:rsidRDefault="00766D47" w:rsidP="00766D47">
            <w:pPr>
              <w:jc w:val="center"/>
            </w:pPr>
            <w:r>
              <w:t>0%</w:t>
            </w:r>
          </w:p>
        </w:tc>
      </w:tr>
    </w:tbl>
    <w:p w14:paraId="159EEF10" w14:textId="77777777" w:rsidR="005A39BD" w:rsidRDefault="005A39BD" w:rsidP="005A39BD"/>
    <w:p w14:paraId="0D460265" w14:textId="77777777" w:rsidR="00F0573A" w:rsidRDefault="00C90068" w:rsidP="00C90068">
      <w:pPr>
        <w:ind w:left="720" w:hanging="720"/>
      </w:pPr>
      <w:r>
        <w:t>6.4</w:t>
      </w:r>
      <w:r>
        <w:tab/>
      </w:r>
      <w:r w:rsidR="002D0799">
        <w:t xml:space="preserve">As part of 2020 </w:t>
      </w:r>
      <w:r w:rsidR="00BC7987">
        <w:t xml:space="preserve">Social Value </w:t>
      </w:r>
      <w:r w:rsidR="002D0799">
        <w:t>improvements the Procurement Team would like the Council to adopt a question on Social Value</w:t>
      </w:r>
      <w:r w:rsidR="0065325E">
        <w:t xml:space="preserve"> (Appendix 1)</w:t>
      </w:r>
      <w:r w:rsidR="005D7D94">
        <w:t xml:space="preserve"> where relevant and proportionate</w:t>
      </w:r>
      <w:r w:rsidR="002D0799">
        <w:t>, the benefits for adopting this will be:</w:t>
      </w:r>
    </w:p>
    <w:p w14:paraId="51D69E67" w14:textId="77777777" w:rsidR="00BC7987" w:rsidRDefault="00BC7987" w:rsidP="00B0470E">
      <w:pPr>
        <w:pStyle w:val="ListParagraph"/>
        <w:numPr>
          <w:ilvl w:val="0"/>
          <w:numId w:val="17"/>
        </w:numPr>
      </w:pPr>
      <w:r>
        <w:t>Council stakeholders and Tenderers will have a better understanding of the areas encompassed in Social Value and the Council’s objectives</w:t>
      </w:r>
    </w:p>
    <w:p w14:paraId="3187BAB9" w14:textId="77777777" w:rsidR="00BC7987" w:rsidRDefault="00BC7987" w:rsidP="00B0470E">
      <w:pPr>
        <w:pStyle w:val="ListParagraph"/>
        <w:numPr>
          <w:ilvl w:val="0"/>
          <w:numId w:val="17"/>
        </w:numPr>
      </w:pPr>
      <w:r>
        <w:t xml:space="preserve">Tenderers responses will be closer to being ‘like for like’ and therefore </w:t>
      </w:r>
      <w:r w:rsidR="00C1152E">
        <w:t>fairer and more transparent</w:t>
      </w:r>
      <w:r>
        <w:t xml:space="preserve"> to evaluate</w:t>
      </w:r>
    </w:p>
    <w:p w14:paraId="3F1314DD" w14:textId="77777777" w:rsidR="002D0799" w:rsidRDefault="00BC7987" w:rsidP="00B0470E">
      <w:pPr>
        <w:pStyle w:val="ListParagraph"/>
        <w:numPr>
          <w:ilvl w:val="0"/>
          <w:numId w:val="17"/>
        </w:numPr>
      </w:pPr>
      <w:r>
        <w:t>Making this a</w:t>
      </w:r>
      <w:r w:rsidR="00C1152E">
        <w:t>n approved approach</w:t>
      </w:r>
      <w:r>
        <w:t xml:space="preserve"> will make it easier to embed into Procurement processes</w:t>
      </w:r>
      <w:r w:rsidR="004813E1">
        <w:t xml:space="preserve"> and templates</w:t>
      </w:r>
      <w:r>
        <w:t>, with</w:t>
      </w:r>
      <w:r w:rsidR="00C1152E">
        <w:t xml:space="preserve"> communication ranging from internal training workshops, Intranet updates, contract management guidance an</w:t>
      </w:r>
      <w:r w:rsidR="00CD3BF5">
        <w:t>d one to one advice as required</w:t>
      </w:r>
    </w:p>
    <w:p w14:paraId="52C126E9" w14:textId="5446B180" w:rsidR="00826C35" w:rsidRDefault="00CD3BF5" w:rsidP="00DC3923">
      <w:pPr>
        <w:pStyle w:val="ListParagraph"/>
        <w:numPr>
          <w:ilvl w:val="0"/>
          <w:numId w:val="0"/>
        </w:numPr>
        <w:ind w:left="720"/>
      </w:pPr>
      <w:r>
        <w:t>With better understanding of the benefits proposed and any additional value this offers the Council, we may be in a position to increase the weighting</w:t>
      </w:r>
      <w:r w:rsidR="005D7D94">
        <w:t>.</w:t>
      </w:r>
      <w:r>
        <w:t xml:space="preserve"> </w:t>
      </w:r>
    </w:p>
    <w:p w14:paraId="56FEA909" w14:textId="77777777" w:rsidR="00826C35" w:rsidRDefault="00826C35" w:rsidP="00CD3BF5">
      <w:pPr>
        <w:pStyle w:val="ListParagraph"/>
        <w:numPr>
          <w:ilvl w:val="0"/>
          <w:numId w:val="0"/>
        </w:numPr>
        <w:ind w:left="720"/>
      </w:pPr>
    </w:p>
    <w:p w14:paraId="02A7A9CC" w14:textId="77777777" w:rsidR="00826C35" w:rsidRDefault="00826C35" w:rsidP="00CD3BF5">
      <w:pPr>
        <w:pStyle w:val="ListParagraph"/>
        <w:numPr>
          <w:ilvl w:val="0"/>
          <w:numId w:val="0"/>
        </w:numPr>
        <w:ind w:left="720"/>
      </w:pPr>
    </w:p>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DC3923" w:rsidRPr="001356F1" w14:paraId="2B35201F" w14:textId="77777777" w:rsidTr="000373D9">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14:paraId="5B1120A9" w14:textId="77777777" w:rsidR="00DC3923" w:rsidRPr="001356F1" w:rsidRDefault="00DC3923" w:rsidP="000373D9">
            <w:pPr>
              <w:rPr>
                <w:b/>
              </w:rPr>
            </w:pPr>
            <w:r w:rsidRPr="001356F1">
              <w:rPr>
                <w:b/>
              </w:rPr>
              <w:t>Report author</w:t>
            </w:r>
          </w:p>
        </w:tc>
        <w:tc>
          <w:tcPr>
            <w:tcW w:w="4962" w:type="dxa"/>
            <w:tcBorders>
              <w:top w:val="single" w:sz="8" w:space="0" w:color="000000"/>
              <w:left w:val="nil"/>
              <w:bottom w:val="single" w:sz="8" w:space="0" w:color="000000"/>
              <w:right w:val="single" w:sz="8" w:space="0" w:color="000000"/>
            </w:tcBorders>
            <w:shd w:val="clear" w:color="auto" w:fill="auto"/>
          </w:tcPr>
          <w:p w14:paraId="3B1EE49D" w14:textId="77777777" w:rsidR="00DC3923" w:rsidRPr="001356F1" w:rsidRDefault="00DC3923" w:rsidP="000373D9">
            <w:r>
              <w:t>Kay Allsopp</w:t>
            </w:r>
          </w:p>
        </w:tc>
      </w:tr>
      <w:tr w:rsidR="00DC3923" w:rsidRPr="001356F1" w14:paraId="42937BCF" w14:textId="77777777" w:rsidTr="000373D9">
        <w:trPr>
          <w:cantSplit/>
          <w:trHeight w:val="396"/>
        </w:trPr>
        <w:tc>
          <w:tcPr>
            <w:tcW w:w="3969" w:type="dxa"/>
            <w:tcBorders>
              <w:top w:val="single" w:sz="8" w:space="0" w:color="000000"/>
              <w:left w:val="single" w:sz="8" w:space="0" w:color="000000"/>
              <w:bottom w:val="nil"/>
              <w:right w:val="nil"/>
            </w:tcBorders>
            <w:shd w:val="clear" w:color="auto" w:fill="auto"/>
          </w:tcPr>
          <w:p w14:paraId="301E0ADF" w14:textId="77777777" w:rsidR="00DC3923" w:rsidRPr="001356F1" w:rsidRDefault="00DC3923" w:rsidP="000373D9">
            <w:r w:rsidRPr="001356F1">
              <w:t>Job title</w:t>
            </w:r>
          </w:p>
        </w:tc>
        <w:tc>
          <w:tcPr>
            <w:tcW w:w="4962" w:type="dxa"/>
            <w:tcBorders>
              <w:top w:val="single" w:sz="8" w:space="0" w:color="000000"/>
              <w:left w:val="nil"/>
              <w:bottom w:val="nil"/>
              <w:right w:val="single" w:sz="8" w:space="0" w:color="000000"/>
            </w:tcBorders>
            <w:shd w:val="clear" w:color="auto" w:fill="auto"/>
          </w:tcPr>
          <w:p w14:paraId="0B93DD0A" w14:textId="77777777" w:rsidR="00DC3923" w:rsidRPr="001356F1" w:rsidRDefault="00DC3923" w:rsidP="000373D9">
            <w:r>
              <w:t>Contract and Procurement Specialist</w:t>
            </w:r>
          </w:p>
        </w:tc>
      </w:tr>
      <w:tr w:rsidR="00DC3923" w:rsidRPr="001356F1" w14:paraId="69E74755" w14:textId="77777777" w:rsidTr="000373D9">
        <w:trPr>
          <w:cantSplit/>
          <w:trHeight w:val="396"/>
        </w:trPr>
        <w:tc>
          <w:tcPr>
            <w:tcW w:w="3969" w:type="dxa"/>
            <w:tcBorders>
              <w:top w:val="nil"/>
              <w:left w:val="single" w:sz="8" w:space="0" w:color="000000"/>
              <w:bottom w:val="nil"/>
              <w:right w:val="nil"/>
            </w:tcBorders>
            <w:shd w:val="clear" w:color="auto" w:fill="auto"/>
          </w:tcPr>
          <w:p w14:paraId="2F01905D" w14:textId="77777777" w:rsidR="00DC3923" w:rsidRPr="001356F1" w:rsidRDefault="00DC3923" w:rsidP="000373D9">
            <w:r w:rsidRPr="001356F1">
              <w:t>Service area or department</w:t>
            </w:r>
          </w:p>
        </w:tc>
        <w:tc>
          <w:tcPr>
            <w:tcW w:w="4962" w:type="dxa"/>
            <w:tcBorders>
              <w:top w:val="nil"/>
              <w:left w:val="nil"/>
              <w:bottom w:val="nil"/>
              <w:right w:val="single" w:sz="8" w:space="0" w:color="000000"/>
            </w:tcBorders>
            <w:shd w:val="clear" w:color="auto" w:fill="auto"/>
          </w:tcPr>
          <w:p w14:paraId="6A0C034B" w14:textId="77777777" w:rsidR="00DC3923" w:rsidRPr="001356F1" w:rsidRDefault="00DC3923" w:rsidP="000373D9">
            <w:r>
              <w:t>Finance</w:t>
            </w:r>
          </w:p>
        </w:tc>
      </w:tr>
      <w:tr w:rsidR="00DC3923" w:rsidRPr="001356F1" w14:paraId="5F49E65C" w14:textId="77777777" w:rsidTr="000373D9">
        <w:trPr>
          <w:cantSplit/>
          <w:trHeight w:val="396"/>
        </w:trPr>
        <w:tc>
          <w:tcPr>
            <w:tcW w:w="3969" w:type="dxa"/>
            <w:tcBorders>
              <w:top w:val="nil"/>
              <w:left w:val="single" w:sz="8" w:space="0" w:color="000000"/>
              <w:bottom w:val="nil"/>
              <w:right w:val="nil"/>
            </w:tcBorders>
            <w:shd w:val="clear" w:color="auto" w:fill="auto"/>
          </w:tcPr>
          <w:p w14:paraId="68A88814" w14:textId="77777777" w:rsidR="00DC3923" w:rsidRPr="001356F1" w:rsidRDefault="00DC3923" w:rsidP="000373D9">
            <w:r w:rsidRPr="001356F1">
              <w:t xml:space="preserve">Telephone </w:t>
            </w:r>
          </w:p>
        </w:tc>
        <w:tc>
          <w:tcPr>
            <w:tcW w:w="4962" w:type="dxa"/>
            <w:tcBorders>
              <w:top w:val="nil"/>
              <w:left w:val="nil"/>
              <w:bottom w:val="nil"/>
              <w:right w:val="single" w:sz="8" w:space="0" w:color="000000"/>
            </w:tcBorders>
            <w:shd w:val="clear" w:color="auto" w:fill="auto"/>
          </w:tcPr>
          <w:p w14:paraId="24795F4E" w14:textId="77777777" w:rsidR="00DC3923" w:rsidRPr="001356F1" w:rsidRDefault="00DC3923" w:rsidP="000373D9">
            <w:r w:rsidRPr="00E14779">
              <w:t>07917791906</w:t>
            </w:r>
          </w:p>
        </w:tc>
      </w:tr>
      <w:tr w:rsidR="00DC3923" w:rsidRPr="001356F1" w14:paraId="58975C72" w14:textId="77777777" w:rsidTr="000373D9">
        <w:trPr>
          <w:cantSplit/>
          <w:trHeight w:val="396"/>
        </w:trPr>
        <w:tc>
          <w:tcPr>
            <w:tcW w:w="3969" w:type="dxa"/>
            <w:tcBorders>
              <w:top w:val="nil"/>
              <w:left w:val="single" w:sz="8" w:space="0" w:color="000000"/>
              <w:bottom w:val="single" w:sz="8" w:space="0" w:color="000000"/>
              <w:right w:val="nil"/>
            </w:tcBorders>
            <w:shd w:val="clear" w:color="auto" w:fill="auto"/>
          </w:tcPr>
          <w:p w14:paraId="31174C03" w14:textId="77777777" w:rsidR="00DC3923" w:rsidRPr="001356F1" w:rsidRDefault="00DC3923" w:rsidP="000373D9">
            <w:r w:rsidRPr="001356F1">
              <w:t xml:space="preserve">e-mail </w:t>
            </w:r>
          </w:p>
        </w:tc>
        <w:tc>
          <w:tcPr>
            <w:tcW w:w="4962" w:type="dxa"/>
            <w:tcBorders>
              <w:top w:val="nil"/>
              <w:left w:val="nil"/>
              <w:bottom w:val="single" w:sz="8" w:space="0" w:color="000000"/>
              <w:right w:val="single" w:sz="8" w:space="0" w:color="000000"/>
            </w:tcBorders>
            <w:shd w:val="clear" w:color="auto" w:fill="auto"/>
          </w:tcPr>
          <w:p w14:paraId="65CBDAD7" w14:textId="77777777" w:rsidR="00DC3923" w:rsidRPr="001356F1" w:rsidRDefault="00DC3923" w:rsidP="000373D9">
            <w:pPr>
              <w:rPr>
                <w:rStyle w:val="Hyperlink"/>
                <w:color w:val="000000"/>
              </w:rPr>
            </w:pPr>
            <w:r>
              <w:rPr>
                <w:rStyle w:val="Hyperlink"/>
                <w:color w:val="000000"/>
              </w:rPr>
              <w:t>kallsopp@oxford.gov.uk</w:t>
            </w:r>
          </w:p>
        </w:tc>
      </w:tr>
    </w:tbl>
    <w:p w14:paraId="41C2624C" w14:textId="77777777" w:rsidR="00DC3923" w:rsidRPr="001356F1" w:rsidRDefault="00DC3923" w:rsidP="00DC392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DC3923" w:rsidRPr="001356F1" w14:paraId="4D2711A1" w14:textId="77777777" w:rsidTr="000373D9">
        <w:tc>
          <w:tcPr>
            <w:tcW w:w="8931" w:type="dxa"/>
            <w:tcBorders>
              <w:top w:val="single" w:sz="4" w:space="0" w:color="auto"/>
              <w:left w:val="single" w:sz="4" w:space="0" w:color="auto"/>
              <w:bottom w:val="single" w:sz="8" w:space="0" w:color="000000"/>
              <w:right w:val="single" w:sz="4" w:space="0" w:color="auto"/>
            </w:tcBorders>
            <w:shd w:val="clear" w:color="auto" w:fill="auto"/>
          </w:tcPr>
          <w:p w14:paraId="5941D221" w14:textId="77777777" w:rsidR="00DC3923" w:rsidRPr="001356F1" w:rsidRDefault="00DC3923" w:rsidP="000373D9">
            <w:r w:rsidRPr="001356F1">
              <w:rPr>
                <w:rStyle w:val="Firstpagetablebold"/>
              </w:rPr>
              <w:t xml:space="preserve">Background Papers: </w:t>
            </w:r>
            <w:r w:rsidRPr="001356F1">
              <w:rPr>
                <w:rStyle w:val="Firstpagetablebold"/>
                <w:b w:val="0"/>
              </w:rPr>
              <w:t>None</w:t>
            </w:r>
          </w:p>
        </w:tc>
      </w:tr>
    </w:tbl>
    <w:p w14:paraId="75299D52" w14:textId="77777777" w:rsidR="00826C35" w:rsidRDefault="00826C35" w:rsidP="00CD3BF5">
      <w:pPr>
        <w:pStyle w:val="ListParagraph"/>
        <w:numPr>
          <w:ilvl w:val="0"/>
          <w:numId w:val="0"/>
        </w:numPr>
        <w:ind w:left="720"/>
      </w:pPr>
    </w:p>
    <w:p w14:paraId="5885450E" w14:textId="77777777" w:rsidR="00826C35" w:rsidRDefault="00826C35" w:rsidP="00CD3BF5">
      <w:pPr>
        <w:pStyle w:val="ListParagraph"/>
        <w:numPr>
          <w:ilvl w:val="0"/>
          <w:numId w:val="0"/>
        </w:numPr>
        <w:ind w:left="720"/>
      </w:pPr>
    </w:p>
    <w:p w14:paraId="0BB71B02" w14:textId="77777777" w:rsidR="00826C35" w:rsidRDefault="00826C35" w:rsidP="00CD3BF5">
      <w:pPr>
        <w:pStyle w:val="ListParagraph"/>
        <w:numPr>
          <w:ilvl w:val="0"/>
          <w:numId w:val="0"/>
        </w:numPr>
        <w:ind w:left="720"/>
      </w:pPr>
    </w:p>
    <w:p w14:paraId="0A93C4F1" w14:textId="77777777" w:rsidR="00826C35" w:rsidRDefault="00826C35" w:rsidP="00CD3BF5">
      <w:pPr>
        <w:pStyle w:val="ListParagraph"/>
        <w:numPr>
          <w:ilvl w:val="0"/>
          <w:numId w:val="0"/>
        </w:numPr>
        <w:ind w:left="720"/>
      </w:pPr>
    </w:p>
    <w:p w14:paraId="61F70147" w14:textId="77777777" w:rsidR="00826C35" w:rsidRDefault="00826C35" w:rsidP="00CD3BF5">
      <w:pPr>
        <w:pStyle w:val="ListParagraph"/>
        <w:numPr>
          <w:ilvl w:val="0"/>
          <w:numId w:val="0"/>
        </w:numPr>
        <w:ind w:left="720"/>
      </w:pPr>
    </w:p>
    <w:p w14:paraId="5BF8F5AE" w14:textId="77777777" w:rsidR="00D922E4" w:rsidRDefault="00D922E4" w:rsidP="005A39BD">
      <w:pPr>
        <w:rPr>
          <w:b/>
        </w:rPr>
      </w:pPr>
    </w:p>
    <w:p w14:paraId="78F5FBD5" w14:textId="77777777" w:rsidR="00D922E4" w:rsidRDefault="00D922E4" w:rsidP="005A39BD">
      <w:pPr>
        <w:rPr>
          <w:b/>
        </w:rPr>
      </w:pPr>
    </w:p>
    <w:p w14:paraId="0FCB229A" w14:textId="77777777" w:rsidR="00D922E4" w:rsidRDefault="00D922E4" w:rsidP="005A39BD">
      <w:pPr>
        <w:rPr>
          <w:b/>
        </w:rPr>
      </w:pPr>
    </w:p>
    <w:p w14:paraId="7EFB2A1C" w14:textId="77777777" w:rsidR="00D922E4" w:rsidRDefault="00D922E4" w:rsidP="005A39BD">
      <w:pPr>
        <w:rPr>
          <w:b/>
        </w:rPr>
      </w:pPr>
    </w:p>
    <w:p w14:paraId="048B6EE9" w14:textId="77777777" w:rsidR="00D922E4" w:rsidRDefault="00D922E4" w:rsidP="005A39BD">
      <w:pPr>
        <w:rPr>
          <w:b/>
        </w:rPr>
      </w:pPr>
    </w:p>
    <w:p w14:paraId="742A8222" w14:textId="77777777" w:rsidR="00D922E4" w:rsidRDefault="00D922E4" w:rsidP="005A39BD">
      <w:pPr>
        <w:rPr>
          <w:b/>
        </w:rPr>
      </w:pPr>
    </w:p>
    <w:p w14:paraId="1DCF59F9" w14:textId="77777777" w:rsidR="00D922E4" w:rsidRDefault="00D922E4" w:rsidP="005A39BD">
      <w:pPr>
        <w:rPr>
          <w:b/>
        </w:rPr>
      </w:pPr>
    </w:p>
    <w:p w14:paraId="36BB769B" w14:textId="77777777" w:rsidR="00D922E4" w:rsidRDefault="00D922E4" w:rsidP="005A39BD">
      <w:pPr>
        <w:rPr>
          <w:b/>
        </w:rPr>
      </w:pPr>
    </w:p>
    <w:p w14:paraId="50C1E748" w14:textId="77777777" w:rsidR="00D922E4" w:rsidRDefault="00D922E4" w:rsidP="005A39BD">
      <w:pPr>
        <w:rPr>
          <w:b/>
        </w:rPr>
      </w:pPr>
    </w:p>
    <w:p w14:paraId="39D2A03B" w14:textId="77777777" w:rsidR="00D922E4" w:rsidRDefault="00D922E4" w:rsidP="005A39BD">
      <w:pPr>
        <w:rPr>
          <w:b/>
        </w:rPr>
      </w:pPr>
    </w:p>
    <w:p w14:paraId="6059C090" w14:textId="77777777" w:rsidR="00C90068" w:rsidRDefault="00C90068" w:rsidP="005A39BD">
      <w:pPr>
        <w:rPr>
          <w:b/>
        </w:rPr>
      </w:pPr>
    </w:p>
    <w:p w14:paraId="6E3D38F0" w14:textId="77777777" w:rsidR="00C90068" w:rsidRDefault="00C90068" w:rsidP="005A39BD">
      <w:pPr>
        <w:rPr>
          <w:b/>
        </w:rPr>
      </w:pPr>
    </w:p>
    <w:p w14:paraId="3DBE4D38" w14:textId="77777777" w:rsidR="00016FC4" w:rsidRDefault="00016FC4">
      <w:pPr>
        <w:spacing w:after="0"/>
        <w:rPr>
          <w:b/>
        </w:rPr>
      </w:pPr>
      <w:r>
        <w:rPr>
          <w:b/>
        </w:rPr>
        <w:br w:type="page"/>
      </w:r>
    </w:p>
    <w:p w14:paraId="48A524E6" w14:textId="77777777" w:rsidR="00C90068" w:rsidRDefault="00C90068" w:rsidP="005A39BD">
      <w:pPr>
        <w:rPr>
          <w:b/>
        </w:rPr>
      </w:pPr>
    </w:p>
    <w:p w14:paraId="0285774E" w14:textId="77777777" w:rsidR="00C90068" w:rsidRDefault="00C90068" w:rsidP="005A39BD">
      <w:pPr>
        <w:rPr>
          <w:b/>
        </w:rPr>
      </w:pPr>
    </w:p>
    <w:p w14:paraId="7C7D1609" w14:textId="4A4F2F5E" w:rsidR="002D0799" w:rsidRPr="0079362F" w:rsidRDefault="0065325E" w:rsidP="00DC3923">
      <w:pPr>
        <w:pStyle w:val="Heading1"/>
        <w:numPr>
          <w:ilvl w:val="0"/>
          <w:numId w:val="0"/>
        </w:numPr>
        <w:ind w:left="360" w:hanging="360"/>
      </w:pPr>
      <w:r w:rsidRPr="00CD3BF5">
        <w:t>Appendix 1</w:t>
      </w:r>
    </w:p>
    <w:p w14:paraId="65C342A4" w14:textId="77777777" w:rsidR="002D0799" w:rsidRDefault="002D0799" w:rsidP="002D0799">
      <w:pPr>
        <w:ind w:left="720" w:hanging="720"/>
      </w:pPr>
    </w:p>
    <w:p w14:paraId="0EE072A9" w14:textId="77777777" w:rsidR="00C1152E" w:rsidRDefault="002D0799" w:rsidP="00C1152E">
      <w:pPr>
        <w:spacing w:after="0"/>
        <w:ind w:left="720" w:hanging="720"/>
      </w:pPr>
      <w:r>
        <w:t xml:space="preserve">Oxford City Council are seeking to engage with providers who will be able to promote </w:t>
      </w:r>
    </w:p>
    <w:p w14:paraId="539B7225" w14:textId="77777777" w:rsidR="00C1152E" w:rsidRDefault="002D0799" w:rsidP="00C1152E">
      <w:pPr>
        <w:spacing w:after="0"/>
        <w:ind w:left="720" w:hanging="720"/>
      </w:pPr>
      <w:proofErr w:type="gramStart"/>
      <w:r>
        <w:t>and</w:t>
      </w:r>
      <w:proofErr w:type="gramEnd"/>
      <w:r>
        <w:t xml:space="preserve"> deliver to the economic, social and environmental well-being of the City</w:t>
      </w:r>
      <w:r w:rsidR="00C1152E">
        <w:t xml:space="preserve"> </w:t>
      </w:r>
      <w:r>
        <w:t xml:space="preserve">as part of </w:t>
      </w:r>
    </w:p>
    <w:p w14:paraId="0D76CA7D" w14:textId="77777777" w:rsidR="002D0799" w:rsidRDefault="002D0799" w:rsidP="00C1152E">
      <w:pPr>
        <w:spacing w:after="0"/>
        <w:ind w:left="720" w:hanging="720"/>
      </w:pPr>
      <w:proofErr w:type="gramStart"/>
      <w:r>
        <w:t>the</w:t>
      </w:r>
      <w:proofErr w:type="gramEnd"/>
      <w:r>
        <w:t xml:space="preserve"> contract, as covered under the Public Services (Social Value) Act 2012.</w:t>
      </w:r>
    </w:p>
    <w:p w14:paraId="2142D71B" w14:textId="77777777" w:rsidR="00C1152E" w:rsidRDefault="00C1152E" w:rsidP="00C1152E">
      <w:pPr>
        <w:spacing w:after="0"/>
        <w:ind w:left="720" w:hanging="720"/>
      </w:pPr>
    </w:p>
    <w:p w14:paraId="1C42FB68" w14:textId="77777777" w:rsidR="002D0799" w:rsidRPr="00ED1B07" w:rsidRDefault="002D0799" w:rsidP="002D0799">
      <w:pPr>
        <w:rPr>
          <w:color w:val="FF0000"/>
        </w:rPr>
      </w:pPr>
      <w:r>
        <w:t xml:space="preserve">Please demonstrate where your organisation is able to meet Social Value </w:t>
      </w:r>
      <w:r w:rsidR="00C1152E">
        <w:t>c</w:t>
      </w:r>
      <w:r>
        <w:t>onsiderations and your direction of travel over the past 2 years as part of the wider impact of goods, works or services, giving specific details of what will be delivered in line with this contract.</w:t>
      </w:r>
    </w:p>
    <w:p w14:paraId="50B37B07" w14:textId="77777777" w:rsidR="002D0799" w:rsidRPr="00ED1B07" w:rsidRDefault="002D0799" w:rsidP="002D0799">
      <w:pPr>
        <w:ind w:left="720"/>
        <w:rPr>
          <w:color w:val="FF0000"/>
        </w:rPr>
      </w:pPr>
    </w:p>
    <w:p w14:paraId="1083A8DE" w14:textId="77777777" w:rsidR="002D0799" w:rsidRDefault="002D0799" w:rsidP="002D0799">
      <w:pPr>
        <w:autoSpaceDE w:val="0"/>
        <w:autoSpaceDN w:val="0"/>
        <w:spacing w:after="240"/>
        <w:jc w:val="both"/>
        <w:rPr>
          <w:bCs/>
        </w:rPr>
      </w:pPr>
      <w:r w:rsidRPr="008150D5">
        <w:rPr>
          <w:bCs/>
        </w:rPr>
        <w:t xml:space="preserve">To help Tenderers understand </w:t>
      </w:r>
      <w:r>
        <w:rPr>
          <w:bCs/>
        </w:rPr>
        <w:t xml:space="preserve">Oxford City Councils commitment to Social Value, we have listed ideas below which the tenderer may wish to </w:t>
      </w:r>
      <w:r w:rsidR="00D22857">
        <w:rPr>
          <w:bCs/>
        </w:rPr>
        <w:t>consider</w:t>
      </w:r>
      <w:r>
        <w:rPr>
          <w:bCs/>
        </w:rPr>
        <w:t xml:space="preserve">, these may promote good ideas or are </w:t>
      </w:r>
      <w:r w:rsidR="00C1152E">
        <w:rPr>
          <w:bCs/>
        </w:rPr>
        <w:t>practices/</w:t>
      </w:r>
      <w:r>
        <w:rPr>
          <w:bCs/>
        </w:rPr>
        <w:t>processes already in place and counted as business and usual.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D0799" w14:paraId="500FBC64" w14:textId="77777777" w:rsidTr="00394B5F">
        <w:tc>
          <w:tcPr>
            <w:tcW w:w="9242" w:type="dxa"/>
            <w:shd w:val="clear" w:color="auto" w:fill="auto"/>
          </w:tcPr>
          <w:p w14:paraId="25F200A7" w14:textId="77777777" w:rsidR="002D0799" w:rsidRPr="008C2E66" w:rsidRDefault="002D0799" w:rsidP="00394B5F">
            <w:pPr>
              <w:rPr>
                <w:b/>
              </w:rPr>
            </w:pPr>
            <w:r w:rsidRPr="008C2E66">
              <w:rPr>
                <w:b/>
              </w:rPr>
              <w:t>Weighting 5%</w:t>
            </w:r>
          </w:p>
        </w:tc>
      </w:tr>
      <w:tr w:rsidR="002D0799" w14:paraId="16B190E6" w14:textId="77777777" w:rsidTr="00394B5F">
        <w:tc>
          <w:tcPr>
            <w:tcW w:w="9242" w:type="dxa"/>
            <w:shd w:val="clear" w:color="auto" w:fill="auto"/>
          </w:tcPr>
          <w:p w14:paraId="06BB2B3D" w14:textId="77777777" w:rsidR="002D0799" w:rsidRPr="008C2E66" w:rsidRDefault="002D0799" w:rsidP="00394B5F">
            <w:pPr>
              <w:rPr>
                <w:b/>
              </w:rPr>
            </w:pPr>
            <w:r w:rsidRPr="008C2E66">
              <w:rPr>
                <w:b/>
              </w:rPr>
              <w:t>Jobs: Promote Local Skills and Employment (inc</w:t>
            </w:r>
            <w:r w:rsidR="00D22857">
              <w:rPr>
                <w:b/>
              </w:rPr>
              <w:t>l.</w:t>
            </w:r>
            <w:r w:rsidRPr="008C2E66">
              <w:rPr>
                <w:b/>
              </w:rPr>
              <w:t xml:space="preserve"> schools and colleges) </w:t>
            </w:r>
          </w:p>
          <w:p w14:paraId="55766DA5" w14:textId="77777777" w:rsidR="002D0799" w:rsidRPr="00182FE9" w:rsidRDefault="002D0799" w:rsidP="00B0470E">
            <w:pPr>
              <w:numPr>
                <w:ilvl w:val="0"/>
                <w:numId w:val="13"/>
              </w:numPr>
              <w:spacing w:after="0"/>
            </w:pPr>
            <w:r w:rsidRPr="00182FE9">
              <w:t>Supporting payment of the Oxford Living Wage</w:t>
            </w:r>
            <w:r w:rsidR="00E25B76">
              <w:t>, align with the Councils self-certification scheme</w:t>
            </w:r>
          </w:p>
          <w:p w14:paraId="3B592C68" w14:textId="77777777" w:rsidR="002D0799" w:rsidRPr="00182FE9" w:rsidRDefault="002D0799" w:rsidP="00B0470E">
            <w:pPr>
              <w:numPr>
                <w:ilvl w:val="0"/>
                <w:numId w:val="9"/>
              </w:numPr>
              <w:spacing w:after="0"/>
            </w:pPr>
            <w:r>
              <w:t>Number of m</w:t>
            </w:r>
            <w:r w:rsidRPr="00182FE9">
              <w:t>eaningful apprenticeships, work placements and mentoring opportunities that pay the Minimum</w:t>
            </w:r>
            <w:r>
              <w:t>, Local</w:t>
            </w:r>
            <w:r w:rsidRPr="00182FE9">
              <w:t xml:space="preserve"> or National Living wage</w:t>
            </w:r>
          </w:p>
          <w:p w14:paraId="670966F9" w14:textId="77777777" w:rsidR="002D0799" w:rsidRPr="00182FE9" w:rsidRDefault="002D0799" w:rsidP="00B0470E">
            <w:pPr>
              <w:numPr>
                <w:ilvl w:val="0"/>
                <w:numId w:val="9"/>
              </w:numPr>
              <w:spacing w:after="0"/>
            </w:pPr>
            <w:r w:rsidRPr="00182FE9">
              <w:t>Number of hours supporting unemployed people into work by providing career mentoring / CV advice / career guidance</w:t>
            </w:r>
          </w:p>
          <w:p w14:paraId="6EC04C73" w14:textId="77777777" w:rsidR="002D0799" w:rsidRPr="00182FE9" w:rsidRDefault="002D0799" w:rsidP="00B0470E">
            <w:pPr>
              <w:numPr>
                <w:ilvl w:val="0"/>
                <w:numId w:val="9"/>
              </w:numPr>
              <w:spacing w:after="0"/>
            </w:pPr>
            <w:r w:rsidRPr="00182FE9">
              <w:t xml:space="preserve">Number of hours supporting local schools/colleges </w:t>
            </w:r>
            <w:r>
              <w:t>with career talks / curriculum support / literacy support / workshops / career events</w:t>
            </w:r>
          </w:p>
          <w:p w14:paraId="6241CA7E" w14:textId="77777777" w:rsidR="002D0799" w:rsidRPr="00182FE9" w:rsidRDefault="002D0799" w:rsidP="00B0470E">
            <w:pPr>
              <w:numPr>
                <w:ilvl w:val="0"/>
                <w:numId w:val="9"/>
              </w:numPr>
              <w:spacing w:after="0"/>
            </w:pPr>
            <w:r>
              <w:t>Supporting</w:t>
            </w:r>
            <w:r w:rsidRPr="00182FE9">
              <w:t xml:space="preserve"> opportunities for disadvantages people</w:t>
            </w:r>
            <w:r>
              <w:t>, long term unemployment / rehabilitating young offenders / people with disabilities</w:t>
            </w:r>
          </w:p>
          <w:p w14:paraId="11022136" w14:textId="77777777" w:rsidR="002D0799" w:rsidRPr="008C2E66" w:rsidRDefault="002D0799" w:rsidP="00B0470E">
            <w:pPr>
              <w:numPr>
                <w:ilvl w:val="0"/>
                <w:numId w:val="9"/>
              </w:numPr>
              <w:spacing w:after="0"/>
              <w:rPr>
                <w:b/>
              </w:rPr>
            </w:pPr>
            <w:r w:rsidRPr="00182FE9">
              <w:t>Improving skills for local people</w:t>
            </w:r>
            <w:r>
              <w:t>, training opportunities.</w:t>
            </w:r>
          </w:p>
          <w:p w14:paraId="19C0DB81" w14:textId="77777777" w:rsidR="002D0799" w:rsidRPr="008C2E66" w:rsidRDefault="002D0799" w:rsidP="00B0470E">
            <w:pPr>
              <w:numPr>
                <w:ilvl w:val="0"/>
                <w:numId w:val="9"/>
              </w:numPr>
              <w:spacing w:after="0"/>
              <w:rPr>
                <w:b/>
              </w:rPr>
            </w:pPr>
            <w:r>
              <w:t>Supporting the Council’s vision of an inclusive economy</w:t>
            </w:r>
          </w:p>
        </w:tc>
      </w:tr>
      <w:tr w:rsidR="002D0799" w14:paraId="495BF275" w14:textId="77777777" w:rsidTr="00394B5F">
        <w:tc>
          <w:tcPr>
            <w:tcW w:w="9242" w:type="dxa"/>
            <w:shd w:val="clear" w:color="auto" w:fill="auto"/>
          </w:tcPr>
          <w:p w14:paraId="35108166" w14:textId="77777777" w:rsidR="002D0799" w:rsidRDefault="002D0799" w:rsidP="00394B5F">
            <w:r>
              <w:t>Tenderers response:</w:t>
            </w:r>
          </w:p>
          <w:p w14:paraId="55410896" w14:textId="77777777" w:rsidR="007F0C70" w:rsidRDefault="000C3DAC" w:rsidP="00394B5F">
            <w:r>
              <w:t>Please state if you are willing to s</w:t>
            </w:r>
            <w:r w:rsidR="00BC07A3" w:rsidRPr="00182FE9">
              <w:t>upport payment of the Oxford Living Wage</w:t>
            </w:r>
            <w:r>
              <w:t xml:space="preserve"> and </w:t>
            </w:r>
            <w:r w:rsidR="00BC07A3">
              <w:t xml:space="preserve"> align with the Councils self-certification scheme</w:t>
            </w:r>
            <w:r>
              <w:t xml:space="preserve">                                          Yes/No</w:t>
            </w:r>
          </w:p>
          <w:p w14:paraId="3AF336DD" w14:textId="77777777" w:rsidR="002D0799" w:rsidRDefault="002D0799" w:rsidP="00394B5F"/>
          <w:p w14:paraId="1F8C83FE" w14:textId="77777777" w:rsidR="002D0799" w:rsidRDefault="002D0799" w:rsidP="00394B5F"/>
          <w:p w14:paraId="6CB07A97" w14:textId="77777777" w:rsidR="002D0799" w:rsidRDefault="002D0799" w:rsidP="00394B5F"/>
        </w:tc>
      </w:tr>
      <w:tr w:rsidR="002D0799" w14:paraId="1F3B8AA6" w14:textId="77777777" w:rsidTr="00394B5F">
        <w:tc>
          <w:tcPr>
            <w:tcW w:w="9242" w:type="dxa"/>
            <w:shd w:val="clear" w:color="auto" w:fill="auto"/>
          </w:tcPr>
          <w:p w14:paraId="6771593A" w14:textId="77777777" w:rsidR="002D0799" w:rsidRPr="008C2E66" w:rsidRDefault="002D0799" w:rsidP="00394B5F">
            <w:pPr>
              <w:rPr>
                <w:b/>
              </w:rPr>
            </w:pPr>
            <w:r w:rsidRPr="008C2E66">
              <w:rPr>
                <w:b/>
              </w:rPr>
              <w:t xml:space="preserve">Growth: Supporting growth of responsible local business </w:t>
            </w:r>
          </w:p>
          <w:p w14:paraId="02790767" w14:textId="77777777" w:rsidR="002D0799" w:rsidRPr="00182FE9" w:rsidRDefault="002D0799" w:rsidP="00B0470E">
            <w:pPr>
              <w:numPr>
                <w:ilvl w:val="0"/>
                <w:numId w:val="14"/>
              </w:numPr>
              <w:spacing w:after="0"/>
            </w:pPr>
            <w:r w:rsidRPr="00182FE9">
              <w:t>More opportunities for local SMEs and VCSEs, equipment or resources donations to local VCSEs</w:t>
            </w:r>
          </w:p>
          <w:p w14:paraId="781D9B29" w14:textId="77777777" w:rsidR="002D0799" w:rsidRPr="00182FE9" w:rsidRDefault="002D0799" w:rsidP="00B0470E">
            <w:pPr>
              <w:numPr>
                <w:ilvl w:val="0"/>
                <w:numId w:val="10"/>
              </w:numPr>
              <w:spacing w:after="0"/>
            </w:pPr>
            <w:r>
              <w:t>% of contracts that include commitment to e</w:t>
            </w:r>
            <w:r w:rsidRPr="00182FE9">
              <w:t xml:space="preserve">thical Procurement </w:t>
            </w:r>
          </w:p>
          <w:p w14:paraId="22D65C33" w14:textId="77777777" w:rsidR="002D0799" w:rsidRDefault="002D0799" w:rsidP="00B0470E">
            <w:pPr>
              <w:numPr>
                <w:ilvl w:val="0"/>
                <w:numId w:val="10"/>
              </w:numPr>
              <w:spacing w:after="0"/>
            </w:pPr>
            <w:r w:rsidRPr="00182FE9">
              <w:t>A workforce and culture that reflect the diversity of the local community</w:t>
            </w:r>
            <w:r>
              <w:t>, diversity training for contractors and sub-contractors</w:t>
            </w:r>
          </w:p>
          <w:p w14:paraId="149BD517" w14:textId="77777777" w:rsidR="002D0799" w:rsidRDefault="002D0799" w:rsidP="00B0470E">
            <w:pPr>
              <w:numPr>
                <w:ilvl w:val="0"/>
                <w:numId w:val="10"/>
              </w:numPr>
              <w:spacing w:after="0"/>
            </w:pPr>
            <w:r>
              <w:t>Amount spent in local supply chain through this contract</w:t>
            </w:r>
          </w:p>
          <w:p w14:paraId="394A8E8D" w14:textId="77777777" w:rsidR="002D0799" w:rsidRPr="00182FE9" w:rsidRDefault="002D0799" w:rsidP="00B0470E">
            <w:pPr>
              <w:numPr>
                <w:ilvl w:val="0"/>
                <w:numId w:val="10"/>
              </w:numPr>
              <w:spacing w:after="0"/>
            </w:pPr>
            <w:r>
              <w:t>Amount spent with local micro, small and medium enterprises (SMEs)</w:t>
            </w:r>
          </w:p>
          <w:p w14:paraId="7C4B7DBA" w14:textId="77777777" w:rsidR="002D0799" w:rsidRPr="008C2E66" w:rsidRDefault="002D0799" w:rsidP="00B0470E">
            <w:pPr>
              <w:numPr>
                <w:ilvl w:val="0"/>
                <w:numId w:val="10"/>
              </w:numPr>
              <w:spacing w:after="0"/>
              <w:rPr>
                <w:b/>
              </w:rPr>
            </w:pPr>
            <w:r>
              <w:t xml:space="preserve">% of contracts with </w:t>
            </w:r>
            <w:r w:rsidRPr="00182FE9">
              <w:t>Social Value embedded in the supply chain</w:t>
            </w:r>
            <w:r>
              <w:t xml:space="preserve">, how this is measured and monitored </w:t>
            </w:r>
          </w:p>
          <w:p w14:paraId="772345D9" w14:textId="77777777" w:rsidR="002D0799" w:rsidRPr="008C2E66" w:rsidRDefault="002D0799" w:rsidP="00B0470E">
            <w:pPr>
              <w:numPr>
                <w:ilvl w:val="0"/>
                <w:numId w:val="10"/>
              </w:numPr>
              <w:spacing w:after="0"/>
              <w:rPr>
                <w:b/>
              </w:rPr>
            </w:pPr>
            <w:r>
              <w:t>Supporting</w:t>
            </w:r>
            <w:r w:rsidRPr="00926C09">
              <w:t xml:space="preserve"> the Councils vision of </w:t>
            </w:r>
            <w:r>
              <w:t>delivering more affordable housing</w:t>
            </w:r>
          </w:p>
        </w:tc>
      </w:tr>
      <w:tr w:rsidR="002D0799" w14:paraId="56BE74CC" w14:textId="77777777" w:rsidTr="00394B5F">
        <w:tc>
          <w:tcPr>
            <w:tcW w:w="9242" w:type="dxa"/>
            <w:shd w:val="clear" w:color="auto" w:fill="auto"/>
          </w:tcPr>
          <w:p w14:paraId="4A42BCAC" w14:textId="77777777" w:rsidR="002D0799" w:rsidRDefault="002D0799" w:rsidP="00394B5F">
            <w:r>
              <w:t>Tenderers response:</w:t>
            </w:r>
          </w:p>
          <w:p w14:paraId="7D4CFF6D" w14:textId="77777777" w:rsidR="002D0799" w:rsidRDefault="002D0799" w:rsidP="00394B5F"/>
          <w:p w14:paraId="0DEFFCD9" w14:textId="77777777" w:rsidR="002D0799" w:rsidRDefault="002D0799" w:rsidP="00394B5F"/>
          <w:p w14:paraId="4AC3DB3C" w14:textId="77777777" w:rsidR="002D0799" w:rsidRDefault="002D0799" w:rsidP="00394B5F"/>
        </w:tc>
      </w:tr>
      <w:tr w:rsidR="002D0799" w14:paraId="104D903F" w14:textId="77777777" w:rsidTr="00394B5F">
        <w:tc>
          <w:tcPr>
            <w:tcW w:w="9242" w:type="dxa"/>
            <w:shd w:val="clear" w:color="auto" w:fill="auto"/>
          </w:tcPr>
          <w:p w14:paraId="63939471" w14:textId="77777777" w:rsidR="002D0799" w:rsidRPr="008C2E66" w:rsidRDefault="002D0799" w:rsidP="00394B5F">
            <w:pPr>
              <w:rPr>
                <w:b/>
              </w:rPr>
            </w:pPr>
            <w:r w:rsidRPr="008C2E66">
              <w:rPr>
                <w:b/>
              </w:rPr>
              <w:t xml:space="preserve">Social: Healthier, Safer and more resilient Communities </w:t>
            </w:r>
          </w:p>
          <w:p w14:paraId="2FB2A731" w14:textId="77777777" w:rsidR="002D0799" w:rsidRPr="00182FE9" w:rsidRDefault="002D0799" w:rsidP="00B0470E">
            <w:pPr>
              <w:numPr>
                <w:ilvl w:val="0"/>
                <w:numId w:val="15"/>
              </w:numPr>
              <w:spacing w:after="0"/>
            </w:pPr>
            <w:r>
              <w:t>Initiatives to help c</w:t>
            </w:r>
            <w:r w:rsidRPr="00182FE9">
              <w:t>rime reduction</w:t>
            </w:r>
          </w:p>
          <w:p w14:paraId="73C4CB1B" w14:textId="77777777" w:rsidR="002D0799" w:rsidRPr="00182FE9" w:rsidRDefault="002D0799" w:rsidP="00B0470E">
            <w:pPr>
              <w:numPr>
                <w:ilvl w:val="0"/>
                <w:numId w:val="11"/>
              </w:numPr>
              <w:spacing w:after="0"/>
            </w:pPr>
            <w:r w:rsidRPr="00182FE9">
              <w:t>Creating a healthier community</w:t>
            </w:r>
            <w:r>
              <w:t>, initiatives taken or supported to engage people in health activities or initiatives</w:t>
            </w:r>
          </w:p>
          <w:p w14:paraId="5FB0AF83" w14:textId="77777777" w:rsidR="002D0799" w:rsidRPr="00182FE9" w:rsidRDefault="002D0799" w:rsidP="00B0470E">
            <w:pPr>
              <w:numPr>
                <w:ilvl w:val="0"/>
                <w:numId w:val="11"/>
              </w:numPr>
              <w:spacing w:after="0"/>
            </w:pPr>
            <w:r w:rsidRPr="00182FE9">
              <w:t>Vulnerable people are helped to live independently</w:t>
            </w:r>
            <w:r>
              <w:t>, initiatives taken to support elderly, vulnerable, disabled people</w:t>
            </w:r>
          </w:p>
          <w:p w14:paraId="184A133A" w14:textId="77777777" w:rsidR="002D0799" w:rsidRPr="008C2E66" w:rsidRDefault="002D0799" w:rsidP="00B0470E">
            <w:pPr>
              <w:numPr>
                <w:ilvl w:val="0"/>
                <w:numId w:val="11"/>
              </w:numPr>
              <w:spacing w:after="0"/>
              <w:rPr>
                <w:b/>
              </w:rPr>
            </w:pPr>
            <w:r w:rsidRPr="00182FE9">
              <w:t>More working within the Community</w:t>
            </w:r>
            <w:r>
              <w:t>, hours volunteered to work on local projects, support provided to help local Community</w:t>
            </w:r>
          </w:p>
          <w:p w14:paraId="6CD05B5A" w14:textId="77777777" w:rsidR="002D0799" w:rsidRPr="008C2E66" w:rsidRDefault="002D0799" w:rsidP="00B0470E">
            <w:pPr>
              <w:pStyle w:val="BodyText"/>
              <w:numPr>
                <w:ilvl w:val="0"/>
                <w:numId w:val="11"/>
              </w:numPr>
              <w:ind w:right="742"/>
              <w:jc w:val="both"/>
              <w:rPr>
                <w:b/>
              </w:rPr>
            </w:pPr>
            <w:r>
              <w:t>Supporting the Council’s vision of flourishing communities</w:t>
            </w:r>
          </w:p>
        </w:tc>
      </w:tr>
      <w:tr w:rsidR="002D0799" w14:paraId="66A86912" w14:textId="77777777" w:rsidTr="00394B5F">
        <w:tc>
          <w:tcPr>
            <w:tcW w:w="9242" w:type="dxa"/>
            <w:shd w:val="clear" w:color="auto" w:fill="auto"/>
          </w:tcPr>
          <w:p w14:paraId="0AA380CE" w14:textId="77777777" w:rsidR="002D0799" w:rsidRDefault="002D0799" w:rsidP="00394B5F">
            <w:r>
              <w:t>Tenderers response:</w:t>
            </w:r>
          </w:p>
          <w:p w14:paraId="3D910FFD" w14:textId="77777777" w:rsidR="002D0799" w:rsidRDefault="002D0799" w:rsidP="00394B5F"/>
          <w:p w14:paraId="011F3CBF" w14:textId="77777777" w:rsidR="002D0799" w:rsidRDefault="002D0799" w:rsidP="00394B5F"/>
          <w:p w14:paraId="266A2B14" w14:textId="77777777" w:rsidR="002D0799" w:rsidRDefault="002D0799" w:rsidP="00394B5F"/>
          <w:p w14:paraId="520360E1" w14:textId="77777777" w:rsidR="002D0799" w:rsidRDefault="002D0799" w:rsidP="00394B5F"/>
        </w:tc>
      </w:tr>
      <w:tr w:rsidR="002D0799" w14:paraId="643A5FF9" w14:textId="77777777" w:rsidTr="00394B5F">
        <w:tc>
          <w:tcPr>
            <w:tcW w:w="9242" w:type="dxa"/>
            <w:shd w:val="clear" w:color="auto" w:fill="auto"/>
          </w:tcPr>
          <w:p w14:paraId="65D3CB14" w14:textId="77777777" w:rsidR="002D0799" w:rsidRPr="008C2E66" w:rsidRDefault="002D0799" w:rsidP="00394B5F">
            <w:pPr>
              <w:rPr>
                <w:b/>
              </w:rPr>
            </w:pPr>
            <w:r w:rsidRPr="008C2E66">
              <w:rPr>
                <w:b/>
              </w:rPr>
              <w:t xml:space="preserve">Environment: Protecting and improving our Environment </w:t>
            </w:r>
          </w:p>
          <w:p w14:paraId="09229B8E" w14:textId="77777777" w:rsidR="002D0799" w:rsidRPr="0079362F" w:rsidRDefault="002D0799" w:rsidP="00B0470E">
            <w:pPr>
              <w:numPr>
                <w:ilvl w:val="0"/>
                <w:numId w:val="12"/>
              </w:numPr>
              <w:spacing w:after="0"/>
            </w:pPr>
            <w:r>
              <w:t>Savings in the reduction of a</w:t>
            </w:r>
            <w:r w:rsidRPr="0079362F">
              <w:t xml:space="preserve">ir pollution </w:t>
            </w:r>
            <w:r>
              <w:t>and how it will be achieved</w:t>
            </w:r>
          </w:p>
          <w:p w14:paraId="0FB64F89" w14:textId="77777777" w:rsidR="002D0799" w:rsidRPr="0079362F" w:rsidRDefault="002D0799" w:rsidP="00B0470E">
            <w:pPr>
              <w:numPr>
                <w:ilvl w:val="0"/>
                <w:numId w:val="12"/>
              </w:numPr>
              <w:spacing w:after="0"/>
            </w:pPr>
            <w:r w:rsidRPr="0079362F">
              <w:t>Better places to live</w:t>
            </w:r>
            <w:r>
              <w:t>, voluntary time dedicated to the creation or management of green infrastructure, keeping green spaces green</w:t>
            </w:r>
          </w:p>
          <w:p w14:paraId="6015F00B" w14:textId="77777777" w:rsidR="002D0799" w:rsidRDefault="002D0799" w:rsidP="00B0470E">
            <w:pPr>
              <w:numPr>
                <w:ilvl w:val="0"/>
                <w:numId w:val="12"/>
              </w:numPr>
              <w:spacing w:after="0"/>
            </w:pPr>
            <w:r>
              <w:t>% of contracts that include s</w:t>
            </w:r>
            <w:r w:rsidRPr="0079362F">
              <w:t xml:space="preserve">ustainable Procurement </w:t>
            </w:r>
            <w:r>
              <w:t>commitments</w:t>
            </w:r>
          </w:p>
          <w:p w14:paraId="44A6B574" w14:textId="77777777" w:rsidR="002D0799" w:rsidRPr="0079362F" w:rsidRDefault="002D0799" w:rsidP="00B0470E">
            <w:pPr>
              <w:numPr>
                <w:ilvl w:val="0"/>
                <w:numId w:val="12"/>
              </w:numPr>
              <w:spacing w:after="0"/>
            </w:pPr>
            <w:r w:rsidRPr="0079362F">
              <w:t xml:space="preserve">Saving CO2 emissions </w:t>
            </w:r>
            <w:r>
              <w:t>and how it will be achieved</w:t>
            </w:r>
          </w:p>
          <w:p w14:paraId="4A8C0CB7" w14:textId="77777777" w:rsidR="002D0799" w:rsidRDefault="002D0799" w:rsidP="00B0470E">
            <w:pPr>
              <w:numPr>
                <w:ilvl w:val="0"/>
                <w:numId w:val="12"/>
              </w:numPr>
              <w:spacing w:after="0"/>
            </w:pPr>
            <w:r w:rsidRPr="0079362F">
              <w:t>Number of low or no emissions vehicles</w:t>
            </w:r>
          </w:p>
          <w:p w14:paraId="79D09FB2" w14:textId="77777777" w:rsidR="002D0799" w:rsidRDefault="002D0799" w:rsidP="00B0470E">
            <w:pPr>
              <w:numPr>
                <w:ilvl w:val="0"/>
                <w:numId w:val="12"/>
              </w:numPr>
              <w:spacing w:after="0"/>
            </w:pPr>
            <w:r w:rsidRPr="0079362F">
              <w:t>Climate impacts are reduced</w:t>
            </w:r>
          </w:p>
          <w:p w14:paraId="538B59FD" w14:textId="77777777" w:rsidR="002D0799" w:rsidRPr="0079362F" w:rsidRDefault="002D0799" w:rsidP="00B0470E">
            <w:pPr>
              <w:numPr>
                <w:ilvl w:val="0"/>
                <w:numId w:val="12"/>
              </w:numPr>
              <w:spacing w:after="0"/>
            </w:pPr>
            <w:r>
              <w:t>Reduction in waste, recycling / paperless systems / food waste</w:t>
            </w:r>
          </w:p>
          <w:p w14:paraId="24080F29" w14:textId="77777777" w:rsidR="002D0799" w:rsidRPr="008C2E66" w:rsidRDefault="002D0799" w:rsidP="00B0470E">
            <w:pPr>
              <w:numPr>
                <w:ilvl w:val="0"/>
                <w:numId w:val="12"/>
              </w:numPr>
              <w:spacing w:after="0"/>
              <w:rPr>
                <w:b/>
              </w:rPr>
            </w:pPr>
            <w:r>
              <w:t>Supporting</w:t>
            </w:r>
            <w:r w:rsidRPr="00926C09">
              <w:t xml:space="preserve"> the Councils vision of a zero carbon Oxford</w:t>
            </w:r>
          </w:p>
        </w:tc>
      </w:tr>
      <w:tr w:rsidR="002D0799" w14:paraId="0A666ABC" w14:textId="77777777" w:rsidTr="00394B5F">
        <w:tc>
          <w:tcPr>
            <w:tcW w:w="9242" w:type="dxa"/>
            <w:shd w:val="clear" w:color="auto" w:fill="auto"/>
          </w:tcPr>
          <w:p w14:paraId="2E80C99F" w14:textId="77777777" w:rsidR="002D0799" w:rsidRDefault="002D0799" w:rsidP="00394B5F">
            <w:r>
              <w:t>Tenderers response:</w:t>
            </w:r>
          </w:p>
          <w:p w14:paraId="1DC39D66" w14:textId="77777777" w:rsidR="002D0799" w:rsidRDefault="002D0799" w:rsidP="00394B5F"/>
          <w:p w14:paraId="747A1437" w14:textId="77777777" w:rsidR="002D0799" w:rsidRDefault="002D0799" w:rsidP="00394B5F"/>
        </w:tc>
      </w:tr>
      <w:tr w:rsidR="002D0799" w14:paraId="74DE42D5" w14:textId="77777777" w:rsidTr="00394B5F">
        <w:trPr>
          <w:trHeight w:val="492"/>
        </w:trPr>
        <w:tc>
          <w:tcPr>
            <w:tcW w:w="9242" w:type="dxa"/>
            <w:shd w:val="clear" w:color="auto" w:fill="auto"/>
          </w:tcPr>
          <w:p w14:paraId="16195F61" w14:textId="77777777" w:rsidR="002D0799" w:rsidRPr="008C2E66" w:rsidRDefault="002D0799" w:rsidP="00394B5F">
            <w:pPr>
              <w:rPr>
                <w:b/>
              </w:rPr>
            </w:pPr>
            <w:r w:rsidRPr="008C2E66">
              <w:rPr>
                <w:b/>
              </w:rPr>
              <w:t>Innovation: Promoting Social Innovation</w:t>
            </w:r>
          </w:p>
          <w:p w14:paraId="666CBEBD" w14:textId="77777777" w:rsidR="002D0799" w:rsidRPr="00926C09" w:rsidRDefault="002D0799" w:rsidP="00B0470E">
            <w:pPr>
              <w:numPr>
                <w:ilvl w:val="0"/>
                <w:numId w:val="16"/>
              </w:numPr>
              <w:spacing w:after="0"/>
            </w:pPr>
            <w:r w:rsidRPr="00926C09">
              <w:t>Please describe any other initiatives you are committed to</w:t>
            </w:r>
            <w:r>
              <w:t xml:space="preserve"> or willing to commit to if awarded this contract</w:t>
            </w:r>
            <w:r w:rsidRPr="00926C09">
              <w:t xml:space="preserve"> i</w:t>
            </w:r>
            <w:r w:rsidR="00E25B76">
              <w:t xml:space="preserve">.e. local charity donations / </w:t>
            </w:r>
            <w:r w:rsidRPr="00926C09">
              <w:t>staff or company voluntary time / improving staff wellbeing</w:t>
            </w:r>
          </w:p>
        </w:tc>
      </w:tr>
      <w:tr w:rsidR="002D0799" w14:paraId="363BAF1C" w14:textId="77777777" w:rsidTr="00394B5F">
        <w:tc>
          <w:tcPr>
            <w:tcW w:w="9242" w:type="dxa"/>
            <w:shd w:val="clear" w:color="auto" w:fill="auto"/>
          </w:tcPr>
          <w:p w14:paraId="0DB6CDFB" w14:textId="77777777" w:rsidR="002D0799" w:rsidRDefault="002D0799" w:rsidP="00394B5F">
            <w:r>
              <w:t>Tenderers response:</w:t>
            </w:r>
          </w:p>
          <w:p w14:paraId="3908DF8A" w14:textId="77777777" w:rsidR="00D922E4" w:rsidRDefault="00D922E4" w:rsidP="00394B5F"/>
          <w:p w14:paraId="2474844E" w14:textId="77777777" w:rsidR="00D922E4" w:rsidRDefault="00D922E4" w:rsidP="00394B5F"/>
          <w:p w14:paraId="25046FA4" w14:textId="77777777" w:rsidR="002D0799" w:rsidRDefault="002D0799" w:rsidP="00394B5F"/>
        </w:tc>
      </w:tr>
    </w:tbl>
    <w:p w14:paraId="2AB9986B" w14:textId="77777777" w:rsidR="002D0799" w:rsidRPr="008A22C6" w:rsidRDefault="002D0799" w:rsidP="002D0799"/>
    <w:p w14:paraId="60542151" w14:textId="77777777" w:rsidR="00846614" w:rsidRDefault="00846614" w:rsidP="00846614"/>
    <w:p w14:paraId="7C82D5F2" w14:textId="77777777" w:rsidR="00846614" w:rsidRDefault="00846614">
      <w:pPr>
        <w:spacing w:after="0"/>
        <w:rPr>
          <w:u w:val="single"/>
        </w:rPr>
        <w:sectPr w:rsidR="00846614" w:rsidSect="002C4FF7">
          <w:pgSz w:w="11906" w:h="16838" w:code="9"/>
          <w:pgMar w:top="568" w:right="1304" w:bottom="1304" w:left="1304" w:header="709" w:footer="680" w:gutter="0"/>
          <w:cols w:space="708"/>
          <w:titlePg/>
          <w:docGrid w:linePitch="360"/>
        </w:sectPr>
      </w:pPr>
    </w:p>
    <w:p w14:paraId="42569276" w14:textId="77777777" w:rsidR="003E05B8" w:rsidRDefault="00CD3BF5" w:rsidP="00DC3923">
      <w:pPr>
        <w:pStyle w:val="Heading1"/>
        <w:numPr>
          <w:ilvl w:val="0"/>
          <w:numId w:val="0"/>
        </w:numPr>
        <w:ind w:left="360" w:hanging="360"/>
      </w:pPr>
      <w:r>
        <w:t>APPENDIX 2</w:t>
      </w:r>
      <w:r w:rsidR="003E05B8">
        <w:t xml:space="preserve"> </w:t>
      </w:r>
    </w:p>
    <w:p w14:paraId="0E3D81ED" w14:textId="77777777" w:rsidR="003E05B8" w:rsidRDefault="003E05B8" w:rsidP="00846614">
      <w:pPr>
        <w:spacing w:after="0"/>
        <w:rPr>
          <w:b/>
          <w:sz w:val="28"/>
          <w:u w:val="single"/>
        </w:rPr>
      </w:pPr>
      <w:bookmarkStart w:id="0" w:name="_GoBack"/>
      <w:bookmarkEnd w:id="0"/>
    </w:p>
    <w:p w14:paraId="68AE1865" w14:textId="77777777" w:rsidR="00846614" w:rsidRPr="003E05B8" w:rsidRDefault="003E05B8" w:rsidP="00846614">
      <w:pPr>
        <w:spacing w:after="0"/>
        <w:rPr>
          <w:b/>
          <w:sz w:val="28"/>
        </w:rPr>
      </w:pPr>
      <w:r w:rsidRPr="003E05B8">
        <w:rPr>
          <w:b/>
          <w:sz w:val="28"/>
        </w:rPr>
        <w:t>Social Value supplier proposals (May 2019-December 2019)</w:t>
      </w:r>
    </w:p>
    <w:p w14:paraId="79EAB67A" w14:textId="77777777" w:rsidR="00846614" w:rsidRDefault="00846614" w:rsidP="00846614">
      <w:pPr>
        <w:spacing w:after="0"/>
        <w:jc w:val="center"/>
        <w:rPr>
          <w:u w:val="single"/>
        </w:rPr>
      </w:pPr>
    </w:p>
    <w:p w14:paraId="3C6753B7" w14:textId="04F6A1CE" w:rsidR="00873484" w:rsidRDefault="00873484" w:rsidP="00846614">
      <w:pPr>
        <w:spacing w:after="0"/>
        <w:jc w:val="center"/>
        <w:rPr>
          <w:u w:val="single"/>
        </w:rPr>
        <w:sectPr w:rsidR="00873484" w:rsidSect="00873484">
          <w:pgSz w:w="16838" w:h="11906" w:orient="landscape" w:code="9"/>
          <w:pgMar w:top="1304" w:right="1418" w:bottom="1304" w:left="1304" w:header="1134" w:footer="680" w:gutter="0"/>
          <w:cols w:space="708"/>
          <w:titlePg/>
          <w:docGrid w:linePitch="360"/>
        </w:sectPr>
      </w:pPr>
      <w:r w:rsidRPr="00441F04">
        <w:rPr>
          <w:noProof/>
        </w:rPr>
        <w:drawing>
          <wp:inline distT="0" distB="0" distL="0" distR="0" wp14:anchorId="0FEBA276" wp14:editId="5DC43CA4">
            <wp:extent cx="7213600" cy="4895591"/>
            <wp:effectExtent l="0" t="0" r="635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244385" cy="4916484"/>
                    </a:xfrm>
                    <a:prstGeom prst="rect">
                      <a:avLst/>
                    </a:prstGeom>
                    <a:noFill/>
                    <a:ln>
                      <a:noFill/>
                    </a:ln>
                  </pic:spPr>
                </pic:pic>
              </a:graphicData>
            </a:graphic>
          </wp:inline>
        </w:drawing>
      </w:r>
    </w:p>
    <w:p w14:paraId="630374CF" w14:textId="77777777" w:rsidR="00873484" w:rsidRDefault="00873484" w:rsidP="00846614">
      <w:pPr>
        <w:spacing w:after="0"/>
        <w:rPr>
          <w:u w:val="single"/>
        </w:rPr>
      </w:pPr>
    </w:p>
    <w:sectPr w:rsidR="00873484" w:rsidSect="00873484">
      <w:pgSz w:w="11906" w:h="16838" w:code="9"/>
      <w:pgMar w:top="1418" w:right="1304" w:bottom="1304" w:left="1304" w:header="113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4F71A" w14:textId="77777777" w:rsidR="0021601B" w:rsidRDefault="0021601B" w:rsidP="004A6D2F">
      <w:r>
        <w:separator/>
      </w:r>
    </w:p>
  </w:endnote>
  <w:endnote w:type="continuationSeparator" w:id="0">
    <w:p w14:paraId="60585EFB" w14:textId="77777777" w:rsidR="0021601B" w:rsidRDefault="0021601B"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32476" w14:textId="77777777" w:rsidR="00125C94" w:rsidRDefault="00125C94" w:rsidP="004A6D2F">
    <w:pPr>
      <w:pStyle w:val="Footer"/>
    </w:pPr>
    <w:r>
      <w:t>Do not use a footer or page numbers.</w:t>
    </w:r>
  </w:p>
  <w:p w14:paraId="6D6A6F86" w14:textId="77777777" w:rsidR="00125C94" w:rsidRDefault="00125C94" w:rsidP="004A6D2F">
    <w:pPr>
      <w:pStyle w:val="Footer"/>
    </w:pPr>
  </w:p>
  <w:p w14:paraId="27454B69" w14:textId="77777777" w:rsidR="00125C94" w:rsidRDefault="00125C94" w:rsidP="004A6D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6AC30" w14:textId="77777777" w:rsidR="00125C94" w:rsidRDefault="00125C94" w:rsidP="004A6D2F">
    <w:pPr>
      <w:pStyle w:val="Footer"/>
    </w:pP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0F6D75" w14:textId="77777777" w:rsidR="0021601B" w:rsidRDefault="0021601B" w:rsidP="004A6D2F">
      <w:r>
        <w:separator/>
      </w:r>
    </w:p>
  </w:footnote>
  <w:footnote w:type="continuationSeparator" w:id="0">
    <w:p w14:paraId="7D6A8EF5" w14:textId="77777777" w:rsidR="0021601B" w:rsidRDefault="0021601B" w:rsidP="004A6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0A8BD" w14:textId="77777777" w:rsidR="00125C94" w:rsidRDefault="00125C94" w:rsidP="004F2FE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9A170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8C30BB"/>
    <w:multiLevelType w:val="multilevel"/>
    <w:tmpl w:val="E67CE66C"/>
    <w:styleLink w:val="StyleNumberedLeft0cmHanging075cm"/>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84E3880"/>
    <w:multiLevelType w:val="hybridMultilevel"/>
    <w:tmpl w:val="BB36947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0DFBA4F"/>
    <w:multiLevelType w:val="hybridMultilevel"/>
    <w:tmpl w:val="C570073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2241A7E"/>
    <w:multiLevelType w:val="hybridMultilevel"/>
    <w:tmpl w:val="238C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242000"/>
    <w:multiLevelType w:val="hybridMultilevel"/>
    <w:tmpl w:val="D5F0F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40633AC"/>
    <w:multiLevelType w:val="hybridMultilevel"/>
    <w:tmpl w:val="F5B01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A9537C8"/>
    <w:multiLevelType w:val="hybridMultilevel"/>
    <w:tmpl w:val="7CEAB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CC21F52"/>
    <w:multiLevelType w:val="hybridMultilevel"/>
    <w:tmpl w:val="6986BE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42ED3CAE"/>
    <w:multiLevelType w:val="hybridMultilevel"/>
    <w:tmpl w:val="4420F29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nsid w:val="50727BA5"/>
    <w:multiLevelType w:val="hybridMultilevel"/>
    <w:tmpl w:val="8222B1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55BF45E2"/>
    <w:multiLevelType w:val="hybridMultilevel"/>
    <w:tmpl w:val="66E03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5DE6D59"/>
    <w:multiLevelType w:val="hybridMultilevel"/>
    <w:tmpl w:val="8F6A3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7CB5F3A"/>
    <w:multiLevelType w:val="hybridMultilevel"/>
    <w:tmpl w:val="B9B60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3E06048"/>
    <w:multiLevelType w:val="hybridMultilevel"/>
    <w:tmpl w:val="C742D550"/>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nsid w:val="64F025B4"/>
    <w:multiLevelType w:val="hybridMultilevel"/>
    <w:tmpl w:val="2354C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8735DD1"/>
    <w:multiLevelType w:val="hybridMultilevel"/>
    <w:tmpl w:val="CFE65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C2C1189"/>
    <w:multiLevelType w:val="hybridMultilevel"/>
    <w:tmpl w:val="4F12D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F612DF4"/>
    <w:multiLevelType w:val="hybridMultilevel"/>
    <w:tmpl w:val="4D0C49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73014488"/>
    <w:multiLevelType w:val="hybridMultilevel"/>
    <w:tmpl w:val="8F7AAE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798365C6"/>
    <w:multiLevelType w:val="multilevel"/>
    <w:tmpl w:val="04B27562"/>
    <w:lvl w:ilvl="0">
      <w:start w:val="1"/>
      <w:numFmt w:val="decimal"/>
      <w:pStyle w:val="ListParagraph"/>
      <w:lvlText w:val="%1."/>
      <w:lvlJc w:val="left"/>
      <w:pPr>
        <w:ind w:left="360" w:hanging="360"/>
      </w:pPr>
      <w:rPr>
        <w:rFonts w:ascii="Arial" w:eastAsia="Times New Roman" w:hAnsi="Arial" w:cs="Times New Roman"/>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3"/>
  </w:num>
  <w:num w:numId="3">
    <w:abstractNumId w:val="7"/>
  </w:num>
  <w:num w:numId="4">
    <w:abstractNumId w:val="2"/>
  </w:num>
  <w:num w:numId="5">
    <w:abstractNumId w:val="19"/>
  </w:num>
  <w:num w:numId="6">
    <w:abstractNumId w:val="3"/>
  </w:num>
  <w:num w:numId="7">
    <w:abstractNumId w:val="16"/>
  </w:num>
  <w:num w:numId="8">
    <w:abstractNumId w:val="23"/>
    <w:lvlOverride w:ilvl="0">
      <w:startOverride w:val="3"/>
    </w:lvlOverride>
  </w:num>
  <w:num w:numId="9">
    <w:abstractNumId w:val="9"/>
  </w:num>
  <w:num w:numId="10">
    <w:abstractNumId w:val="14"/>
  </w:num>
  <w:num w:numId="11">
    <w:abstractNumId w:val="20"/>
  </w:num>
  <w:num w:numId="12">
    <w:abstractNumId w:val="13"/>
  </w:num>
  <w:num w:numId="13">
    <w:abstractNumId w:val="18"/>
  </w:num>
  <w:num w:numId="14">
    <w:abstractNumId w:val="17"/>
  </w:num>
  <w:num w:numId="15">
    <w:abstractNumId w:val="8"/>
  </w:num>
  <w:num w:numId="16">
    <w:abstractNumId w:val="5"/>
  </w:num>
  <w:num w:numId="17">
    <w:abstractNumId w:val="12"/>
  </w:num>
  <w:num w:numId="18">
    <w:abstractNumId w:val="21"/>
  </w:num>
  <w:num w:numId="19">
    <w:abstractNumId w:val="22"/>
  </w:num>
  <w:num w:numId="20">
    <w:abstractNumId w:val="15"/>
  </w:num>
  <w:num w:numId="21">
    <w:abstractNumId w:val="11"/>
  </w:num>
  <w:num w:numId="22">
    <w:abstractNumId w:val="6"/>
  </w:num>
  <w:num w:numId="23">
    <w:abstractNumId w:val="4"/>
  </w:num>
  <w:num w:numId="24">
    <w:abstractNumId w:val="10"/>
  </w:num>
  <w:num w:numId="25">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303"/>
    <w:rsid w:val="000117D4"/>
    <w:rsid w:val="00016FC4"/>
    <w:rsid w:val="00017D7F"/>
    <w:rsid w:val="000206E9"/>
    <w:rsid w:val="00024479"/>
    <w:rsid w:val="000314D7"/>
    <w:rsid w:val="00045F8B"/>
    <w:rsid w:val="00046D2B"/>
    <w:rsid w:val="00056263"/>
    <w:rsid w:val="0006169C"/>
    <w:rsid w:val="000643F5"/>
    <w:rsid w:val="00064D8A"/>
    <w:rsid w:val="00064F82"/>
    <w:rsid w:val="00066510"/>
    <w:rsid w:val="00077523"/>
    <w:rsid w:val="000901F9"/>
    <w:rsid w:val="000C07B1"/>
    <w:rsid w:val="000C089F"/>
    <w:rsid w:val="000C3928"/>
    <w:rsid w:val="000C3DAC"/>
    <w:rsid w:val="000C5E8E"/>
    <w:rsid w:val="000D01CD"/>
    <w:rsid w:val="000F4751"/>
    <w:rsid w:val="0010524C"/>
    <w:rsid w:val="00111FB1"/>
    <w:rsid w:val="00113418"/>
    <w:rsid w:val="00125C94"/>
    <w:rsid w:val="001356F1"/>
    <w:rsid w:val="00136994"/>
    <w:rsid w:val="0014128E"/>
    <w:rsid w:val="00147142"/>
    <w:rsid w:val="00151888"/>
    <w:rsid w:val="00157D81"/>
    <w:rsid w:val="001638B5"/>
    <w:rsid w:val="00170A2D"/>
    <w:rsid w:val="001752AD"/>
    <w:rsid w:val="001808BC"/>
    <w:rsid w:val="00182B81"/>
    <w:rsid w:val="0018619D"/>
    <w:rsid w:val="001A011E"/>
    <w:rsid w:val="001A066A"/>
    <w:rsid w:val="001A13E6"/>
    <w:rsid w:val="001A5731"/>
    <w:rsid w:val="001A7303"/>
    <w:rsid w:val="001B42C3"/>
    <w:rsid w:val="001C5D5E"/>
    <w:rsid w:val="001D678D"/>
    <w:rsid w:val="001E03F8"/>
    <w:rsid w:val="001E1678"/>
    <w:rsid w:val="001E3376"/>
    <w:rsid w:val="001F246A"/>
    <w:rsid w:val="002069B3"/>
    <w:rsid w:val="0021258F"/>
    <w:rsid w:val="0021601B"/>
    <w:rsid w:val="002329CF"/>
    <w:rsid w:val="00232F5B"/>
    <w:rsid w:val="002430D4"/>
    <w:rsid w:val="00247C29"/>
    <w:rsid w:val="00260467"/>
    <w:rsid w:val="00263EA3"/>
    <w:rsid w:val="00282B7A"/>
    <w:rsid w:val="00284A2F"/>
    <w:rsid w:val="00284F85"/>
    <w:rsid w:val="00290915"/>
    <w:rsid w:val="002A22E2"/>
    <w:rsid w:val="002C4FF7"/>
    <w:rsid w:val="002C64F7"/>
    <w:rsid w:val="002D0799"/>
    <w:rsid w:val="002F41F2"/>
    <w:rsid w:val="00301BF3"/>
    <w:rsid w:val="0030208D"/>
    <w:rsid w:val="003103C2"/>
    <w:rsid w:val="00323418"/>
    <w:rsid w:val="003357BF"/>
    <w:rsid w:val="00364FAD"/>
    <w:rsid w:val="0036738F"/>
    <w:rsid w:val="0036759C"/>
    <w:rsid w:val="00367AE5"/>
    <w:rsid w:val="00367D71"/>
    <w:rsid w:val="00371FEF"/>
    <w:rsid w:val="0038150A"/>
    <w:rsid w:val="00387521"/>
    <w:rsid w:val="00394B5F"/>
    <w:rsid w:val="00395D9C"/>
    <w:rsid w:val="003A4832"/>
    <w:rsid w:val="003B6E75"/>
    <w:rsid w:val="003B7DA1"/>
    <w:rsid w:val="003C0694"/>
    <w:rsid w:val="003D0379"/>
    <w:rsid w:val="003D2574"/>
    <w:rsid w:val="003D4C59"/>
    <w:rsid w:val="003E05B8"/>
    <w:rsid w:val="003F4267"/>
    <w:rsid w:val="00404032"/>
    <w:rsid w:val="0040736F"/>
    <w:rsid w:val="00412C1F"/>
    <w:rsid w:val="00412F15"/>
    <w:rsid w:val="00421CB2"/>
    <w:rsid w:val="004268B9"/>
    <w:rsid w:val="00433B96"/>
    <w:rsid w:val="004440F1"/>
    <w:rsid w:val="004456DD"/>
    <w:rsid w:val="00446CDF"/>
    <w:rsid w:val="004521B7"/>
    <w:rsid w:val="00462AB5"/>
    <w:rsid w:val="00465EAF"/>
    <w:rsid w:val="004738C5"/>
    <w:rsid w:val="004813E1"/>
    <w:rsid w:val="00491046"/>
    <w:rsid w:val="00493809"/>
    <w:rsid w:val="004A2AC7"/>
    <w:rsid w:val="004A6D2F"/>
    <w:rsid w:val="004C2887"/>
    <w:rsid w:val="004D2626"/>
    <w:rsid w:val="004D6E26"/>
    <w:rsid w:val="004D77D3"/>
    <w:rsid w:val="004E2959"/>
    <w:rsid w:val="004F20EF"/>
    <w:rsid w:val="004F2FEA"/>
    <w:rsid w:val="0050321C"/>
    <w:rsid w:val="0054712D"/>
    <w:rsid w:val="00547EF6"/>
    <w:rsid w:val="005570B5"/>
    <w:rsid w:val="00567E18"/>
    <w:rsid w:val="00575F5F"/>
    <w:rsid w:val="00581805"/>
    <w:rsid w:val="00585F76"/>
    <w:rsid w:val="00597BD4"/>
    <w:rsid w:val="005A0F5E"/>
    <w:rsid w:val="005A34E4"/>
    <w:rsid w:val="005A39BD"/>
    <w:rsid w:val="005B17F2"/>
    <w:rsid w:val="005B7FB0"/>
    <w:rsid w:val="005C35A5"/>
    <w:rsid w:val="005C577C"/>
    <w:rsid w:val="005D0621"/>
    <w:rsid w:val="005D1E27"/>
    <w:rsid w:val="005D2A3E"/>
    <w:rsid w:val="005D7D94"/>
    <w:rsid w:val="005E022E"/>
    <w:rsid w:val="005E5215"/>
    <w:rsid w:val="005F7F7E"/>
    <w:rsid w:val="00614693"/>
    <w:rsid w:val="00623C2F"/>
    <w:rsid w:val="00633578"/>
    <w:rsid w:val="00637068"/>
    <w:rsid w:val="00650811"/>
    <w:rsid w:val="0065325E"/>
    <w:rsid w:val="00661D3E"/>
    <w:rsid w:val="00692627"/>
    <w:rsid w:val="006969E7"/>
    <w:rsid w:val="006A3643"/>
    <w:rsid w:val="006A7E13"/>
    <w:rsid w:val="006C2A29"/>
    <w:rsid w:val="006C64CF"/>
    <w:rsid w:val="006D17B1"/>
    <w:rsid w:val="006D4752"/>
    <w:rsid w:val="006D708A"/>
    <w:rsid w:val="006E14C1"/>
    <w:rsid w:val="006F0292"/>
    <w:rsid w:val="006F27FA"/>
    <w:rsid w:val="006F416B"/>
    <w:rsid w:val="006F519B"/>
    <w:rsid w:val="007022DA"/>
    <w:rsid w:val="007130C8"/>
    <w:rsid w:val="00713675"/>
    <w:rsid w:val="00715823"/>
    <w:rsid w:val="00737B93"/>
    <w:rsid w:val="00745BF0"/>
    <w:rsid w:val="007615FE"/>
    <w:rsid w:val="0076655C"/>
    <w:rsid w:val="00766D47"/>
    <w:rsid w:val="007742DC"/>
    <w:rsid w:val="0078108A"/>
    <w:rsid w:val="00791437"/>
    <w:rsid w:val="007B0C2C"/>
    <w:rsid w:val="007B278E"/>
    <w:rsid w:val="007C20ED"/>
    <w:rsid w:val="007C5787"/>
    <w:rsid w:val="007C5C23"/>
    <w:rsid w:val="007E2A26"/>
    <w:rsid w:val="007F0C70"/>
    <w:rsid w:val="007F2348"/>
    <w:rsid w:val="00803F07"/>
    <w:rsid w:val="0080749A"/>
    <w:rsid w:val="008177D2"/>
    <w:rsid w:val="00821FB8"/>
    <w:rsid w:val="00822ACD"/>
    <w:rsid w:val="00826C35"/>
    <w:rsid w:val="00846614"/>
    <w:rsid w:val="00855C66"/>
    <w:rsid w:val="00871EE4"/>
    <w:rsid w:val="00873484"/>
    <w:rsid w:val="00887E6A"/>
    <w:rsid w:val="008B293F"/>
    <w:rsid w:val="008B7371"/>
    <w:rsid w:val="008D3DDB"/>
    <w:rsid w:val="008F573F"/>
    <w:rsid w:val="008F61E3"/>
    <w:rsid w:val="009034EC"/>
    <w:rsid w:val="00904BDA"/>
    <w:rsid w:val="0093067A"/>
    <w:rsid w:val="00941C60"/>
    <w:rsid w:val="00941FD1"/>
    <w:rsid w:val="0095047D"/>
    <w:rsid w:val="009515C4"/>
    <w:rsid w:val="00966D42"/>
    <w:rsid w:val="00971689"/>
    <w:rsid w:val="00973E90"/>
    <w:rsid w:val="00975B07"/>
    <w:rsid w:val="00980B4A"/>
    <w:rsid w:val="00992681"/>
    <w:rsid w:val="009A501A"/>
    <w:rsid w:val="009C42B2"/>
    <w:rsid w:val="009E3D0A"/>
    <w:rsid w:val="009E51FC"/>
    <w:rsid w:val="009F1D28"/>
    <w:rsid w:val="009F7618"/>
    <w:rsid w:val="00A04D23"/>
    <w:rsid w:val="00A06766"/>
    <w:rsid w:val="00A13765"/>
    <w:rsid w:val="00A21B12"/>
    <w:rsid w:val="00A23F80"/>
    <w:rsid w:val="00A46E98"/>
    <w:rsid w:val="00A6352B"/>
    <w:rsid w:val="00A65287"/>
    <w:rsid w:val="00A66663"/>
    <w:rsid w:val="00A701B5"/>
    <w:rsid w:val="00A714BB"/>
    <w:rsid w:val="00A77147"/>
    <w:rsid w:val="00A92D8F"/>
    <w:rsid w:val="00AA1FAE"/>
    <w:rsid w:val="00AA2E61"/>
    <w:rsid w:val="00AA68DF"/>
    <w:rsid w:val="00AB2988"/>
    <w:rsid w:val="00AB7999"/>
    <w:rsid w:val="00AD3292"/>
    <w:rsid w:val="00AE6FBD"/>
    <w:rsid w:val="00AE7AF0"/>
    <w:rsid w:val="00AF09A7"/>
    <w:rsid w:val="00B0470E"/>
    <w:rsid w:val="00B500CA"/>
    <w:rsid w:val="00B51F4E"/>
    <w:rsid w:val="00B77072"/>
    <w:rsid w:val="00B84844"/>
    <w:rsid w:val="00B86314"/>
    <w:rsid w:val="00BA1C2E"/>
    <w:rsid w:val="00BC07A3"/>
    <w:rsid w:val="00BC200B"/>
    <w:rsid w:val="00BC4756"/>
    <w:rsid w:val="00BC69A4"/>
    <w:rsid w:val="00BC7987"/>
    <w:rsid w:val="00BE0680"/>
    <w:rsid w:val="00BE264E"/>
    <w:rsid w:val="00BE2A06"/>
    <w:rsid w:val="00BE305F"/>
    <w:rsid w:val="00BE7BA3"/>
    <w:rsid w:val="00BF5682"/>
    <w:rsid w:val="00BF5CF7"/>
    <w:rsid w:val="00BF7B09"/>
    <w:rsid w:val="00C1152E"/>
    <w:rsid w:val="00C20A95"/>
    <w:rsid w:val="00C2692F"/>
    <w:rsid w:val="00C3207C"/>
    <w:rsid w:val="00C400E1"/>
    <w:rsid w:val="00C41187"/>
    <w:rsid w:val="00C5644D"/>
    <w:rsid w:val="00C63C31"/>
    <w:rsid w:val="00C757A0"/>
    <w:rsid w:val="00C760DE"/>
    <w:rsid w:val="00C82630"/>
    <w:rsid w:val="00C85B4E"/>
    <w:rsid w:val="00C90068"/>
    <w:rsid w:val="00C907F7"/>
    <w:rsid w:val="00C912C3"/>
    <w:rsid w:val="00CA2103"/>
    <w:rsid w:val="00CB6B99"/>
    <w:rsid w:val="00CB71BE"/>
    <w:rsid w:val="00CD0B14"/>
    <w:rsid w:val="00CD3BF5"/>
    <w:rsid w:val="00CE4C87"/>
    <w:rsid w:val="00CE544A"/>
    <w:rsid w:val="00CE582F"/>
    <w:rsid w:val="00CF21C0"/>
    <w:rsid w:val="00D0284B"/>
    <w:rsid w:val="00D11E1C"/>
    <w:rsid w:val="00D160B0"/>
    <w:rsid w:val="00D17F94"/>
    <w:rsid w:val="00D223FC"/>
    <w:rsid w:val="00D22857"/>
    <w:rsid w:val="00D26D1E"/>
    <w:rsid w:val="00D32BDF"/>
    <w:rsid w:val="00D474CF"/>
    <w:rsid w:val="00D5547E"/>
    <w:rsid w:val="00D85885"/>
    <w:rsid w:val="00D860E2"/>
    <w:rsid w:val="00D869A1"/>
    <w:rsid w:val="00D87155"/>
    <w:rsid w:val="00D922E4"/>
    <w:rsid w:val="00D948E5"/>
    <w:rsid w:val="00DA00DE"/>
    <w:rsid w:val="00DA413F"/>
    <w:rsid w:val="00DA4584"/>
    <w:rsid w:val="00DA614B"/>
    <w:rsid w:val="00DB7AD7"/>
    <w:rsid w:val="00DC3060"/>
    <w:rsid w:val="00DC3923"/>
    <w:rsid w:val="00DD3AE2"/>
    <w:rsid w:val="00DE0FB2"/>
    <w:rsid w:val="00DE636E"/>
    <w:rsid w:val="00DF093E"/>
    <w:rsid w:val="00E01F42"/>
    <w:rsid w:val="00E14779"/>
    <w:rsid w:val="00E206D6"/>
    <w:rsid w:val="00E25B76"/>
    <w:rsid w:val="00E3366E"/>
    <w:rsid w:val="00E50FF6"/>
    <w:rsid w:val="00E51768"/>
    <w:rsid w:val="00E52086"/>
    <w:rsid w:val="00E543A6"/>
    <w:rsid w:val="00E60479"/>
    <w:rsid w:val="00E61D73"/>
    <w:rsid w:val="00E62F2F"/>
    <w:rsid w:val="00E73684"/>
    <w:rsid w:val="00E778B4"/>
    <w:rsid w:val="00E818D6"/>
    <w:rsid w:val="00E87F7A"/>
    <w:rsid w:val="00E9325D"/>
    <w:rsid w:val="00E94B3E"/>
    <w:rsid w:val="00E96BD7"/>
    <w:rsid w:val="00EA0DB1"/>
    <w:rsid w:val="00EA0EE9"/>
    <w:rsid w:val="00EB48E3"/>
    <w:rsid w:val="00ED52CA"/>
    <w:rsid w:val="00ED5860"/>
    <w:rsid w:val="00EE35C9"/>
    <w:rsid w:val="00EF4700"/>
    <w:rsid w:val="00EF7F2E"/>
    <w:rsid w:val="00F0573A"/>
    <w:rsid w:val="00F05ECA"/>
    <w:rsid w:val="00F24170"/>
    <w:rsid w:val="00F3566E"/>
    <w:rsid w:val="00F375FB"/>
    <w:rsid w:val="00F41AC1"/>
    <w:rsid w:val="00F4367A"/>
    <w:rsid w:val="00F445B1"/>
    <w:rsid w:val="00F45CD4"/>
    <w:rsid w:val="00F66DCA"/>
    <w:rsid w:val="00F74F53"/>
    <w:rsid w:val="00F7606D"/>
    <w:rsid w:val="00F81670"/>
    <w:rsid w:val="00F82024"/>
    <w:rsid w:val="00F91CFA"/>
    <w:rsid w:val="00F95BC9"/>
    <w:rsid w:val="00FA624C"/>
    <w:rsid w:val="00FB13FC"/>
    <w:rsid w:val="00FC419D"/>
    <w:rsid w:val="00FD0FAC"/>
    <w:rsid w:val="00FD1DFA"/>
    <w:rsid w:val="00FD3CD4"/>
    <w:rsid w:val="00FD4966"/>
    <w:rsid w:val="00FE5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8D89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Body Text" w:uiPriority="1" w:qFormat="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lsdException w:name="Emphasis" w:semiHidden="0" w:unhideWhenUsed="0" w:qFormat="1"/>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ListParagraph"/>
    <w:next w:val="Normal"/>
    <w:link w:val="Heading1Char"/>
    <w:qFormat/>
    <w:rsid w:val="00DC3923"/>
    <w:pPr>
      <w:outlineLvl w:val="0"/>
    </w:pPr>
    <w:rPr>
      <w:b/>
    </w:rPr>
  </w:style>
  <w:style w:type="paragraph" w:styleId="Heading2">
    <w:name w:val="heading 2"/>
    <w:aliases w:val="Sub-heading"/>
    <w:basedOn w:val="Normal"/>
    <w:next w:val="Normal"/>
    <w:qFormat/>
    <w:rsid w:val="00404032"/>
    <w:p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4"/>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qFormat/>
    <w:rsid w:val="005570B5"/>
    <w:pPr>
      <w:numPr>
        <w:numId w:val="2"/>
      </w:numPr>
      <w:tabs>
        <w:tab w:val="left" w:pos="426"/>
      </w:tabs>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
      </w:numPr>
    </w:pPr>
  </w:style>
  <w:style w:type="paragraph" w:customStyle="1" w:styleId="Bulletpoints">
    <w:name w:val="Bullet points"/>
    <w:basedOn w:val="Normal"/>
    <w:link w:val="BulletpointsChar"/>
    <w:qFormat/>
    <w:rsid w:val="005570B5"/>
    <w:pPr>
      <w:numPr>
        <w:numId w:val="3"/>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5"/>
      </w:numPr>
      <w:ind w:left="993" w:hanging="426"/>
    </w:pPr>
  </w:style>
  <w:style w:type="character" w:customStyle="1" w:styleId="Heading1Char">
    <w:name w:val="Heading 1 Char"/>
    <w:aliases w:val="aHeading Char"/>
    <w:link w:val="Heading1"/>
    <w:rsid w:val="00DC3923"/>
    <w:rPr>
      <w:b/>
      <w:color w:val="000000"/>
      <w:sz w:val="24"/>
      <w:szCs w:val="24"/>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 w:type="character" w:customStyle="1" w:styleId="CommentTextChar">
    <w:name w:val="Comment Text Char"/>
    <w:link w:val="CommentText"/>
    <w:uiPriority w:val="99"/>
    <w:semiHidden/>
    <w:rsid w:val="00FD3CD4"/>
    <w:rPr>
      <w:color w:val="000000"/>
    </w:rPr>
  </w:style>
  <w:style w:type="paragraph" w:styleId="BodyText">
    <w:name w:val="Body Text"/>
    <w:basedOn w:val="Normal"/>
    <w:link w:val="BodyTextChar"/>
    <w:uiPriority w:val="1"/>
    <w:qFormat/>
    <w:rsid w:val="002D0799"/>
    <w:pPr>
      <w:widowControl w:val="0"/>
      <w:autoSpaceDE w:val="0"/>
      <w:autoSpaceDN w:val="0"/>
      <w:spacing w:after="0"/>
    </w:pPr>
    <w:rPr>
      <w:rFonts w:eastAsia="Arial" w:cs="Arial"/>
      <w:color w:val="auto"/>
      <w:lang w:val="en-US" w:eastAsia="en-US"/>
    </w:rPr>
  </w:style>
  <w:style w:type="character" w:customStyle="1" w:styleId="BodyTextChar">
    <w:name w:val="Body Text Char"/>
    <w:basedOn w:val="DefaultParagraphFont"/>
    <w:link w:val="BodyText"/>
    <w:uiPriority w:val="1"/>
    <w:rsid w:val="002D0799"/>
    <w:rPr>
      <w:rFonts w:eastAsia="Arial" w:cs="Arial"/>
      <w:sz w:val="24"/>
      <w:szCs w:val="24"/>
      <w:lang w:val="en-US" w:eastAsia="en-US"/>
    </w:rPr>
  </w:style>
  <w:style w:type="paragraph" w:customStyle="1" w:styleId="Default">
    <w:name w:val="Default"/>
    <w:rsid w:val="007C5787"/>
    <w:pPr>
      <w:autoSpaceDE w:val="0"/>
      <w:autoSpaceDN w:val="0"/>
      <w:adjustRightInd w:val="0"/>
    </w:pPr>
    <w:rPr>
      <w:rFonts w:cs="Arial"/>
      <w:color w:val="000000"/>
      <w:sz w:val="24"/>
      <w:szCs w:val="24"/>
    </w:rPr>
  </w:style>
  <w:style w:type="paragraph" w:styleId="ListBullet">
    <w:name w:val="List Bullet"/>
    <w:basedOn w:val="Normal"/>
    <w:unhideWhenUsed/>
    <w:rsid w:val="009A501A"/>
    <w:pPr>
      <w:numPr>
        <w:numId w:val="25"/>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Body Text" w:uiPriority="1" w:qFormat="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lsdException w:name="Emphasis" w:semiHidden="0" w:unhideWhenUsed="0" w:qFormat="1"/>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ListParagraph"/>
    <w:next w:val="Normal"/>
    <w:link w:val="Heading1Char"/>
    <w:qFormat/>
    <w:rsid w:val="00DC3923"/>
    <w:pPr>
      <w:outlineLvl w:val="0"/>
    </w:pPr>
    <w:rPr>
      <w:b/>
    </w:rPr>
  </w:style>
  <w:style w:type="paragraph" w:styleId="Heading2">
    <w:name w:val="heading 2"/>
    <w:aliases w:val="Sub-heading"/>
    <w:basedOn w:val="Normal"/>
    <w:next w:val="Normal"/>
    <w:qFormat/>
    <w:rsid w:val="00404032"/>
    <w:p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4"/>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qFormat/>
    <w:rsid w:val="005570B5"/>
    <w:pPr>
      <w:numPr>
        <w:numId w:val="2"/>
      </w:numPr>
      <w:tabs>
        <w:tab w:val="left" w:pos="426"/>
      </w:tabs>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
      </w:numPr>
    </w:pPr>
  </w:style>
  <w:style w:type="paragraph" w:customStyle="1" w:styleId="Bulletpoints">
    <w:name w:val="Bullet points"/>
    <w:basedOn w:val="Normal"/>
    <w:link w:val="BulletpointsChar"/>
    <w:qFormat/>
    <w:rsid w:val="005570B5"/>
    <w:pPr>
      <w:numPr>
        <w:numId w:val="3"/>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5"/>
      </w:numPr>
      <w:ind w:left="993" w:hanging="426"/>
    </w:pPr>
  </w:style>
  <w:style w:type="character" w:customStyle="1" w:styleId="Heading1Char">
    <w:name w:val="Heading 1 Char"/>
    <w:aliases w:val="aHeading Char"/>
    <w:link w:val="Heading1"/>
    <w:rsid w:val="00DC3923"/>
    <w:rPr>
      <w:b/>
      <w:color w:val="000000"/>
      <w:sz w:val="24"/>
      <w:szCs w:val="24"/>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 w:type="character" w:customStyle="1" w:styleId="CommentTextChar">
    <w:name w:val="Comment Text Char"/>
    <w:link w:val="CommentText"/>
    <w:uiPriority w:val="99"/>
    <w:semiHidden/>
    <w:rsid w:val="00FD3CD4"/>
    <w:rPr>
      <w:color w:val="000000"/>
    </w:rPr>
  </w:style>
  <w:style w:type="paragraph" w:styleId="BodyText">
    <w:name w:val="Body Text"/>
    <w:basedOn w:val="Normal"/>
    <w:link w:val="BodyTextChar"/>
    <w:uiPriority w:val="1"/>
    <w:qFormat/>
    <w:rsid w:val="002D0799"/>
    <w:pPr>
      <w:widowControl w:val="0"/>
      <w:autoSpaceDE w:val="0"/>
      <w:autoSpaceDN w:val="0"/>
      <w:spacing w:after="0"/>
    </w:pPr>
    <w:rPr>
      <w:rFonts w:eastAsia="Arial" w:cs="Arial"/>
      <w:color w:val="auto"/>
      <w:lang w:val="en-US" w:eastAsia="en-US"/>
    </w:rPr>
  </w:style>
  <w:style w:type="character" w:customStyle="1" w:styleId="BodyTextChar">
    <w:name w:val="Body Text Char"/>
    <w:basedOn w:val="DefaultParagraphFont"/>
    <w:link w:val="BodyText"/>
    <w:uiPriority w:val="1"/>
    <w:rsid w:val="002D0799"/>
    <w:rPr>
      <w:rFonts w:eastAsia="Arial" w:cs="Arial"/>
      <w:sz w:val="24"/>
      <w:szCs w:val="24"/>
      <w:lang w:val="en-US" w:eastAsia="en-US"/>
    </w:rPr>
  </w:style>
  <w:style w:type="paragraph" w:customStyle="1" w:styleId="Default">
    <w:name w:val="Default"/>
    <w:rsid w:val="007C5787"/>
    <w:pPr>
      <w:autoSpaceDE w:val="0"/>
      <w:autoSpaceDN w:val="0"/>
      <w:adjustRightInd w:val="0"/>
    </w:pPr>
    <w:rPr>
      <w:rFonts w:cs="Arial"/>
      <w:color w:val="000000"/>
      <w:sz w:val="24"/>
      <w:szCs w:val="24"/>
    </w:rPr>
  </w:style>
  <w:style w:type="paragraph" w:styleId="ListBullet">
    <w:name w:val="List Bullet"/>
    <w:basedOn w:val="Normal"/>
    <w:unhideWhenUsed/>
    <w:rsid w:val="009A501A"/>
    <w:pPr>
      <w:numPr>
        <w:numId w:val="2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3917">
      <w:bodyDiv w:val="1"/>
      <w:marLeft w:val="0"/>
      <w:marRight w:val="0"/>
      <w:marTop w:val="0"/>
      <w:marBottom w:val="0"/>
      <w:divBdr>
        <w:top w:val="none" w:sz="0" w:space="0" w:color="auto"/>
        <w:left w:val="none" w:sz="0" w:space="0" w:color="auto"/>
        <w:bottom w:val="none" w:sz="0" w:space="0" w:color="auto"/>
        <w:right w:val="none" w:sz="0" w:space="0" w:color="auto"/>
      </w:divBdr>
    </w:div>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 w:id="1739286220">
      <w:bodyDiv w:val="1"/>
      <w:marLeft w:val="0"/>
      <w:marRight w:val="0"/>
      <w:marTop w:val="0"/>
      <w:marBottom w:val="0"/>
      <w:divBdr>
        <w:top w:val="none" w:sz="0" w:space="0" w:color="auto"/>
        <w:left w:val="none" w:sz="0" w:space="0" w:color="auto"/>
        <w:bottom w:val="none" w:sz="0" w:space="0" w:color="auto"/>
        <w:right w:val="none" w:sz="0" w:space="0" w:color="auto"/>
      </w:divBdr>
    </w:div>
    <w:div w:id="2027947755">
      <w:bodyDiv w:val="1"/>
      <w:marLeft w:val="0"/>
      <w:marRight w:val="0"/>
      <w:marTop w:val="0"/>
      <w:marBottom w:val="0"/>
      <w:divBdr>
        <w:top w:val="none" w:sz="0" w:space="0" w:color="auto"/>
        <w:left w:val="none" w:sz="0" w:space="0" w:color="auto"/>
        <w:bottom w:val="none" w:sz="0" w:space="0" w:color="auto"/>
        <w:right w:val="none" w:sz="0" w:space="0" w:color="auto"/>
      </w:divBdr>
    </w:div>
    <w:div w:id="204552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chart" Target="charts/chart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6.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chart" Target="charts/chart2.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chart" Target="charts/chart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hart" Target="charts/chart8.xml"/><Relationship Id="rId10" Type="http://schemas.openxmlformats.org/officeDocument/2006/relationships/footnotes" Target="footnotes.xml"/><Relationship Id="rId19" Type="http://schemas.openxmlformats.org/officeDocument/2006/relationships/chart" Target="charts/chart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chart" Target="charts/chart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hon\AppData\Local\Packages\Microsoft.MicrosoftEdge_8wekyb3d8bbwe\TempState\Downloads\Cabinet%20Report%20Template%20(1).dotx"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3" Type="http://schemas.microsoft.com/office/2011/relationships/chartStyle" Target="style5.xml"/><Relationship Id="rId2" Type="http://schemas.microsoft.com/office/2011/relationships/chartColorStyle" Target="colors5.xml"/><Relationship Id="rId1" Type="http://schemas.openxmlformats.org/officeDocument/2006/relationships/oleObject" Target="../embeddings/oleObject5.bin"/></Relationships>
</file>

<file path=word/charts/_rels/chart6.xml.rels><?xml version="1.0" encoding="UTF-8" standalone="yes"?>
<Relationships xmlns="http://schemas.openxmlformats.org/package/2006/relationships"><Relationship Id="rId3" Type="http://schemas.microsoft.com/office/2011/relationships/chartStyle" Target="style6.xml"/><Relationship Id="rId2" Type="http://schemas.microsoft.com/office/2011/relationships/chartColorStyle" Target="colors6.xml"/><Relationship Id="rId1" Type="http://schemas.openxmlformats.org/officeDocument/2006/relationships/oleObject" Target="../embeddings/oleObject6.bin"/></Relationships>
</file>

<file path=word/charts/_rels/chart7.xml.rels><?xml version="1.0" encoding="UTF-8" standalone="yes"?>
<Relationships xmlns="http://schemas.openxmlformats.org/package/2006/relationships"><Relationship Id="rId3" Type="http://schemas.microsoft.com/office/2011/relationships/chartStyle" Target="style7.xml"/><Relationship Id="rId2" Type="http://schemas.microsoft.com/office/2011/relationships/chartColorStyle" Target="colors7.xml"/><Relationship Id="rId1" Type="http://schemas.openxmlformats.org/officeDocument/2006/relationships/oleObject" Target="../embeddings/oleObject7.bin"/></Relationships>
</file>

<file path=word/charts/_rels/chart8.xml.rels><?xml version="1.0" encoding="UTF-8" standalone="yes"?>
<Relationships xmlns="http://schemas.openxmlformats.org/package/2006/relationships"><Relationship Id="rId3" Type="http://schemas.microsoft.com/office/2011/relationships/chartStyle" Target="style8.xml"/><Relationship Id="rId2" Type="http://schemas.microsoft.com/office/2011/relationships/chartColorStyle" Target="colors8.xml"/><Relationship Id="rId1" Type="http://schemas.openxmlformats.org/officeDocument/2006/relationships/oleObject" Target="../embeddings/oleObject8.bin"/></Relationships>
</file>

<file path=word/charts/_rels/chart9.xml.rels><?xml version="1.0" encoding="UTF-8" standalone="yes"?>
<Relationships xmlns="http://schemas.openxmlformats.org/package/2006/relationships"><Relationship Id="rId3" Type="http://schemas.microsoft.com/office/2011/relationships/chartStyle" Target="style9.xml"/><Relationship Id="rId2" Type="http://schemas.microsoft.com/office/2011/relationships/chartColorStyle" Target="colors9.xml"/><Relationship Id="rId1" Type="http://schemas.openxmlformats.org/officeDocument/2006/relationships/oleObject" Target="../embeddings/oleObject9.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Oxford City Council National</a:t>
            </a:r>
            <a:r>
              <a:rPr lang="en-US" b="1" baseline="0"/>
              <a:t> SME Spend %</a:t>
            </a:r>
            <a:endParaRPr lang="en-US" b="1"/>
          </a:p>
        </c:rich>
      </c:tx>
      <c:layout/>
      <c:overlay val="0"/>
      <c:spPr>
        <a:noFill/>
        <a:ln>
          <a:noFill/>
        </a:ln>
        <a:effectLst/>
      </c:spPr>
    </c:title>
    <c:autoTitleDeleted val="0"/>
    <c:plotArea>
      <c:layout>
        <c:manualLayout>
          <c:layoutTarget val="inner"/>
          <c:xMode val="edge"/>
          <c:yMode val="edge"/>
          <c:x val="8.0509181790997517E-2"/>
          <c:y val="0.13669530524960721"/>
          <c:w val="0.70647472806059564"/>
          <c:h val="0.71681320652107672"/>
        </c:manualLayout>
      </c:layout>
      <c:lineChart>
        <c:grouping val="standard"/>
        <c:varyColors val="0"/>
        <c:ser>
          <c:idx val="0"/>
          <c:order val="0"/>
          <c:tx>
            <c:strRef>
              <c:f>Sheet1!$J$1</c:f>
              <c:strCache>
                <c:ptCount val="1"/>
                <c:pt idx="0">
                  <c:v>National SME Spend %</c:v>
                </c:pt>
              </c:strCache>
            </c:strRef>
          </c:tx>
          <c:spPr>
            <a:ln w="28575" cap="rnd">
              <a:solidFill>
                <a:schemeClr val="accent1"/>
              </a:solidFill>
              <a:round/>
            </a:ln>
            <a:effectLst/>
          </c:spPr>
          <c:marker>
            <c:symbol val="none"/>
          </c:marker>
          <c:cat>
            <c:numRef>
              <c:f>Sheet1!$A$2:$A$13</c:f>
              <c:numCache>
                <c:formatCode>mmm\-yy</c:formatCode>
                <c:ptCount val="12"/>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numCache>
            </c:numRef>
          </c:cat>
          <c:val>
            <c:numRef>
              <c:f>Sheet1!$J$2:$J$13</c:f>
              <c:numCache>
                <c:formatCode>0.00</c:formatCode>
                <c:ptCount val="12"/>
                <c:pt idx="0">
                  <c:v>54.032215649286762</c:v>
                </c:pt>
                <c:pt idx="1">
                  <c:v>65.670413030007708</c:v>
                </c:pt>
                <c:pt idx="2">
                  <c:v>69.861157843879951</c:v>
                </c:pt>
                <c:pt idx="3">
                  <c:v>61.51268182734885</c:v>
                </c:pt>
                <c:pt idx="4">
                  <c:v>67.249868456534401</c:v>
                </c:pt>
                <c:pt idx="5">
                  <c:v>60.405945611007098</c:v>
                </c:pt>
                <c:pt idx="6">
                  <c:v>45.643545642731141</c:v>
                </c:pt>
                <c:pt idx="7">
                  <c:v>72.860909679752126</c:v>
                </c:pt>
                <c:pt idx="8">
                  <c:v>70.584747650911112</c:v>
                </c:pt>
                <c:pt idx="9">
                  <c:v>71.133311743587967</c:v>
                </c:pt>
                <c:pt idx="10">
                  <c:v>61.151471500782343</c:v>
                </c:pt>
                <c:pt idx="11">
                  <c:v>69.080216978138509</c:v>
                </c:pt>
              </c:numCache>
            </c:numRef>
          </c:val>
          <c:smooth val="0"/>
        </c:ser>
        <c:dLbls>
          <c:showLegendKey val="0"/>
          <c:showVal val="0"/>
          <c:showCatName val="0"/>
          <c:showSerName val="0"/>
          <c:showPercent val="0"/>
          <c:showBubbleSize val="0"/>
        </c:dLbls>
        <c:marker val="1"/>
        <c:smooth val="0"/>
        <c:axId val="137355648"/>
        <c:axId val="137359360"/>
      </c:lineChart>
      <c:dateAx>
        <c:axId val="137355648"/>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359360"/>
        <c:crosses val="autoZero"/>
        <c:auto val="1"/>
        <c:lblOffset val="100"/>
        <c:baseTimeUnit val="months"/>
      </c:dateAx>
      <c:valAx>
        <c:axId val="137359360"/>
        <c:scaling>
          <c:orientation val="minMax"/>
          <c:max val="9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355648"/>
        <c:crosses val="autoZero"/>
        <c:crossBetween val="between"/>
      </c:valAx>
      <c:spPr>
        <a:noFill/>
        <a:ln>
          <a:noFill/>
        </a:ln>
        <a:effectLst/>
      </c:spPr>
    </c:plotArea>
    <c:legend>
      <c:legendPos val="r"/>
      <c:layout>
        <c:manualLayout>
          <c:xMode val="edge"/>
          <c:yMode val="edge"/>
          <c:x val="0.79436589925843437"/>
          <c:y val="0.5169805921993863"/>
          <c:w val="0.17646424542919317"/>
          <c:h val="0.1211613455161938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ODSL National</a:t>
            </a:r>
            <a:r>
              <a:rPr lang="en-US" b="1" baseline="0"/>
              <a:t> SME Spend %</a:t>
            </a:r>
            <a:endParaRPr lang="en-US" b="1"/>
          </a:p>
        </c:rich>
      </c:tx>
      <c:layout/>
      <c:overlay val="0"/>
      <c:spPr>
        <a:noFill/>
        <a:ln>
          <a:noFill/>
        </a:ln>
        <a:effectLst/>
      </c:spPr>
    </c:title>
    <c:autoTitleDeleted val="0"/>
    <c:plotArea>
      <c:layout>
        <c:manualLayout>
          <c:layoutTarget val="inner"/>
          <c:xMode val="edge"/>
          <c:yMode val="edge"/>
          <c:x val="8.0509181790997517E-2"/>
          <c:y val="0.13669530524960721"/>
          <c:w val="0.70647472806059564"/>
          <c:h val="0.71681320652107672"/>
        </c:manualLayout>
      </c:layout>
      <c:lineChart>
        <c:grouping val="standard"/>
        <c:varyColors val="0"/>
        <c:ser>
          <c:idx val="0"/>
          <c:order val="0"/>
          <c:tx>
            <c:strRef>
              <c:f>Sheet1!$E$1</c:f>
              <c:strCache>
                <c:ptCount val="1"/>
                <c:pt idx="0">
                  <c:v>National SME spend %</c:v>
                </c:pt>
              </c:strCache>
            </c:strRef>
          </c:tx>
          <c:spPr>
            <a:ln w="28575" cap="rnd">
              <a:solidFill>
                <a:schemeClr val="accent1"/>
              </a:solidFill>
              <a:round/>
            </a:ln>
            <a:effectLst/>
          </c:spPr>
          <c:marker>
            <c:symbol val="none"/>
          </c:marker>
          <c:cat>
            <c:numRef>
              <c:f>Sheet1!$A$2:$A$13</c:f>
              <c:numCache>
                <c:formatCode>mmm\-yy</c:formatCode>
                <c:ptCount val="12"/>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numCache>
            </c:numRef>
          </c:cat>
          <c:val>
            <c:numRef>
              <c:f>Sheet1!$E$2:$E$13</c:f>
              <c:numCache>
                <c:formatCode>0.00</c:formatCode>
                <c:ptCount val="12"/>
                <c:pt idx="0">
                  <c:v>57.722308435074545</c:v>
                </c:pt>
                <c:pt idx="1">
                  <c:v>64.433567993272973</c:v>
                </c:pt>
                <c:pt idx="2">
                  <c:v>69.916127682388208</c:v>
                </c:pt>
                <c:pt idx="3">
                  <c:v>64.124955114365022</c:v>
                </c:pt>
                <c:pt idx="4">
                  <c:v>61.089681641427717</c:v>
                </c:pt>
                <c:pt idx="5">
                  <c:v>58.27819983662318</c:v>
                </c:pt>
                <c:pt idx="6">
                  <c:v>64.081967669174986</c:v>
                </c:pt>
                <c:pt idx="7">
                  <c:v>68.701031933519047</c:v>
                </c:pt>
                <c:pt idx="8">
                  <c:v>63.51675407668629</c:v>
                </c:pt>
                <c:pt idx="9">
                  <c:v>63.136598168934597</c:v>
                </c:pt>
                <c:pt idx="10">
                  <c:v>74.748837255103339</c:v>
                </c:pt>
                <c:pt idx="11">
                  <c:v>67.969013734437709</c:v>
                </c:pt>
              </c:numCache>
            </c:numRef>
          </c:val>
          <c:smooth val="0"/>
        </c:ser>
        <c:dLbls>
          <c:showLegendKey val="0"/>
          <c:showVal val="0"/>
          <c:showCatName val="0"/>
          <c:showSerName val="0"/>
          <c:showPercent val="0"/>
          <c:showBubbleSize val="0"/>
        </c:dLbls>
        <c:marker val="1"/>
        <c:smooth val="0"/>
        <c:axId val="86695296"/>
        <c:axId val="86697088"/>
      </c:lineChart>
      <c:dateAx>
        <c:axId val="86695296"/>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697088"/>
        <c:crosses val="autoZero"/>
        <c:auto val="1"/>
        <c:lblOffset val="100"/>
        <c:baseTimeUnit val="months"/>
      </c:dateAx>
      <c:valAx>
        <c:axId val="86697088"/>
        <c:scaling>
          <c:orientation val="minMax"/>
          <c:max val="9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695296"/>
        <c:crosses val="autoZero"/>
        <c:crossBetween val="between"/>
      </c:valAx>
      <c:spPr>
        <a:noFill/>
        <a:ln>
          <a:noFill/>
        </a:ln>
        <a:effectLst/>
      </c:spPr>
    </c:plotArea>
    <c:legend>
      <c:legendPos val="r"/>
      <c:layout>
        <c:manualLayout>
          <c:xMode val="edge"/>
          <c:yMode val="edge"/>
          <c:x val="0.79436589925843437"/>
          <c:y val="0.5169805921993863"/>
          <c:w val="0.17646424542919317"/>
          <c:h val="0.1211613455161938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OCHL National</a:t>
            </a:r>
            <a:r>
              <a:rPr lang="en-US" b="1" baseline="0"/>
              <a:t> SME Spend %</a:t>
            </a:r>
            <a:endParaRPr lang="en-US" b="1"/>
          </a:p>
        </c:rich>
      </c:tx>
      <c:layout/>
      <c:overlay val="0"/>
      <c:spPr>
        <a:noFill/>
        <a:ln>
          <a:noFill/>
        </a:ln>
        <a:effectLst/>
      </c:spPr>
    </c:title>
    <c:autoTitleDeleted val="0"/>
    <c:plotArea>
      <c:layout>
        <c:manualLayout>
          <c:layoutTarget val="inner"/>
          <c:xMode val="edge"/>
          <c:yMode val="edge"/>
          <c:x val="8.0509181790997517E-2"/>
          <c:y val="0.13669530524960721"/>
          <c:w val="0.70647472806059564"/>
          <c:h val="0.71681320652107672"/>
        </c:manualLayout>
      </c:layout>
      <c:lineChart>
        <c:grouping val="standard"/>
        <c:varyColors val="0"/>
        <c:ser>
          <c:idx val="0"/>
          <c:order val="0"/>
          <c:tx>
            <c:strRef>
              <c:f>Sheet1!$E$1</c:f>
              <c:strCache>
                <c:ptCount val="1"/>
                <c:pt idx="0">
                  <c:v>National SME spend %</c:v>
                </c:pt>
              </c:strCache>
            </c:strRef>
          </c:tx>
          <c:spPr>
            <a:ln w="28575" cap="rnd">
              <a:solidFill>
                <a:schemeClr val="accent1"/>
              </a:solidFill>
              <a:round/>
            </a:ln>
            <a:effectLst/>
          </c:spPr>
          <c:marker>
            <c:symbol val="none"/>
          </c:marker>
          <c:cat>
            <c:numRef>
              <c:f>Sheet1!$A$2:$A$13</c:f>
              <c:numCache>
                <c:formatCode>mmm\-yy</c:formatCode>
                <c:ptCount val="12"/>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numCache>
            </c:numRef>
          </c:cat>
          <c:val>
            <c:numRef>
              <c:f>Sheet1!$E$2:$E$13</c:f>
              <c:numCache>
                <c:formatCode>0.00</c:formatCode>
                <c:ptCount val="12"/>
                <c:pt idx="0">
                  <c:v>96.036149315554496</c:v>
                </c:pt>
                <c:pt idx="1">
                  <c:v>100</c:v>
                </c:pt>
                <c:pt idx="2">
                  <c:v>100</c:v>
                </c:pt>
                <c:pt idx="3">
                  <c:v>98.547913938059764</c:v>
                </c:pt>
                <c:pt idx="4">
                  <c:v>100</c:v>
                </c:pt>
                <c:pt idx="5">
                  <c:v>48.255445197160668</c:v>
                </c:pt>
                <c:pt idx="6">
                  <c:v>100</c:v>
                </c:pt>
                <c:pt idx="7">
                  <c:v>88.456646622552341</c:v>
                </c:pt>
                <c:pt idx="8">
                  <c:v>96.126983307298048</c:v>
                </c:pt>
                <c:pt idx="9">
                  <c:v>48.860195373482327</c:v>
                </c:pt>
                <c:pt idx="10">
                  <c:v>99.973267621132337</c:v>
                </c:pt>
                <c:pt idx="11">
                  <c:v>99.869768001356235</c:v>
                </c:pt>
              </c:numCache>
            </c:numRef>
          </c:val>
          <c:smooth val="0"/>
        </c:ser>
        <c:dLbls>
          <c:showLegendKey val="0"/>
          <c:showVal val="0"/>
          <c:showCatName val="0"/>
          <c:showSerName val="0"/>
          <c:showPercent val="0"/>
          <c:showBubbleSize val="0"/>
        </c:dLbls>
        <c:marker val="1"/>
        <c:smooth val="0"/>
        <c:axId val="136516736"/>
        <c:axId val="136518272"/>
      </c:lineChart>
      <c:dateAx>
        <c:axId val="136516736"/>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518272"/>
        <c:crosses val="autoZero"/>
        <c:auto val="1"/>
        <c:lblOffset val="100"/>
        <c:baseTimeUnit val="months"/>
      </c:dateAx>
      <c:valAx>
        <c:axId val="13651827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516736"/>
        <c:crosses val="autoZero"/>
        <c:crossBetween val="between"/>
      </c:valAx>
      <c:spPr>
        <a:noFill/>
        <a:ln>
          <a:noFill/>
        </a:ln>
        <a:effectLst/>
      </c:spPr>
    </c:plotArea>
    <c:legend>
      <c:legendPos val="r"/>
      <c:layout>
        <c:manualLayout>
          <c:xMode val="edge"/>
          <c:yMode val="edge"/>
          <c:x val="0.79436589925843437"/>
          <c:y val="0.5169805921993863"/>
          <c:w val="0.17646424542919317"/>
          <c:h val="0.1211613455161938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Oxford</a:t>
            </a:r>
            <a:r>
              <a:rPr lang="en-US" b="1" baseline="0"/>
              <a:t> City Council </a:t>
            </a:r>
            <a:r>
              <a:rPr lang="en-US" b="1"/>
              <a:t>Local Oxfordshire Spend %</a:t>
            </a:r>
          </a:p>
        </c:rich>
      </c:tx>
      <c:layout/>
      <c:overlay val="0"/>
      <c:spPr>
        <a:noFill/>
        <a:ln>
          <a:noFill/>
        </a:ln>
        <a:effectLst/>
      </c:spPr>
    </c:title>
    <c:autoTitleDeleted val="0"/>
    <c:plotArea>
      <c:layout>
        <c:manualLayout>
          <c:layoutTarget val="inner"/>
          <c:xMode val="edge"/>
          <c:yMode val="edge"/>
          <c:x val="8.2883352695667142E-2"/>
          <c:y val="0.13839552238805972"/>
          <c:w val="0.7099150685801372"/>
          <c:h val="0.68058061667525205"/>
        </c:manualLayout>
      </c:layout>
      <c:lineChart>
        <c:grouping val="standard"/>
        <c:varyColors val="0"/>
        <c:ser>
          <c:idx val="0"/>
          <c:order val="0"/>
          <c:tx>
            <c:strRef>
              <c:f>Sheet1!$N$1</c:f>
              <c:strCache>
                <c:ptCount val="1"/>
                <c:pt idx="0">
                  <c:v>Local Oxfordshire Spend %</c:v>
                </c:pt>
              </c:strCache>
            </c:strRef>
          </c:tx>
          <c:spPr>
            <a:ln w="28575" cap="rnd">
              <a:solidFill>
                <a:schemeClr val="accent1"/>
              </a:solidFill>
              <a:round/>
            </a:ln>
            <a:effectLst/>
          </c:spPr>
          <c:marker>
            <c:symbol val="none"/>
          </c:marker>
          <c:cat>
            <c:numRef>
              <c:f>Sheet1!$A$2:$A$13</c:f>
              <c:numCache>
                <c:formatCode>mmm\-yy</c:formatCode>
                <c:ptCount val="12"/>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numCache>
            </c:numRef>
          </c:cat>
          <c:val>
            <c:numRef>
              <c:f>Sheet1!$N$2:$N$13</c:f>
              <c:numCache>
                <c:formatCode>0.00</c:formatCode>
                <c:ptCount val="12"/>
                <c:pt idx="0">
                  <c:v>36.588795994979606</c:v>
                </c:pt>
                <c:pt idx="1">
                  <c:v>35.992225977399556</c:v>
                </c:pt>
                <c:pt idx="2">
                  <c:v>49.428908196514179</c:v>
                </c:pt>
                <c:pt idx="3">
                  <c:v>48.113948112156059</c:v>
                </c:pt>
                <c:pt idx="4">
                  <c:v>34.047376049600771</c:v>
                </c:pt>
                <c:pt idx="5">
                  <c:v>47.12883947340881</c:v>
                </c:pt>
                <c:pt idx="6">
                  <c:v>29.080386226606038</c:v>
                </c:pt>
                <c:pt idx="7">
                  <c:v>37.946744978798506</c:v>
                </c:pt>
                <c:pt idx="8">
                  <c:v>43.727189245039355</c:v>
                </c:pt>
                <c:pt idx="9">
                  <c:v>46.188561151010404</c:v>
                </c:pt>
                <c:pt idx="10">
                  <c:v>36.874589531392573</c:v>
                </c:pt>
                <c:pt idx="11">
                  <c:v>38.915852019667199</c:v>
                </c:pt>
              </c:numCache>
            </c:numRef>
          </c:val>
          <c:smooth val="0"/>
        </c:ser>
        <c:dLbls>
          <c:showLegendKey val="0"/>
          <c:showVal val="0"/>
          <c:showCatName val="0"/>
          <c:showSerName val="0"/>
          <c:showPercent val="0"/>
          <c:showBubbleSize val="0"/>
        </c:dLbls>
        <c:marker val="1"/>
        <c:smooth val="0"/>
        <c:axId val="138394240"/>
        <c:axId val="138400128"/>
      </c:lineChart>
      <c:dateAx>
        <c:axId val="138394240"/>
        <c:scaling>
          <c:orientation val="minMax"/>
        </c:scaling>
        <c:delete val="0"/>
        <c:axPos val="b"/>
        <c:numFmt formatCode="mmm\-yy" sourceLinked="1"/>
        <c:majorTickMark val="out"/>
        <c:minorTickMark val="none"/>
        <c:tickLblPos val="nextTo"/>
        <c:spPr>
          <a:noFill/>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400128"/>
        <c:crosses val="autoZero"/>
        <c:auto val="1"/>
        <c:lblOffset val="100"/>
        <c:baseTimeUnit val="months"/>
      </c:dateAx>
      <c:valAx>
        <c:axId val="138400128"/>
        <c:scaling>
          <c:orientation val="minMax"/>
          <c:max val="7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394240"/>
        <c:crosses val="autoZero"/>
        <c:crossBetween val="between"/>
      </c:valAx>
      <c:spPr>
        <a:noFill/>
        <a:ln>
          <a:noFill/>
        </a:ln>
        <a:effectLst/>
      </c:spPr>
    </c:plotArea>
    <c:legend>
      <c:legendPos val="r"/>
      <c:layout>
        <c:manualLayout>
          <c:xMode val="edge"/>
          <c:yMode val="edge"/>
          <c:x val="0.78314650832580357"/>
          <c:y val="0.51719179692090722"/>
          <c:w val="0.2037387375758358"/>
          <c:h val="0.163713127277000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Oxford City Council Local SME Spend %</a:t>
            </a:r>
          </a:p>
        </c:rich>
      </c:tx>
      <c:layout/>
      <c:overlay val="0"/>
      <c:spPr>
        <a:noFill/>
        <a:ln>
          <a:noFill/>
        </a:ln>
        <a:effectLst/>
      </c:spPr>
    </c:title>
    <c:autoTitleDeleted val="0"/>
    <c:plotArea>
      <c:layout>
        <c:manualLayout>
          <c:layoutTarget val="inner"/>
          <c:xMode val="edge"/>
          <c:yMode val="edge"/>
          <c:x val="7.1281390703089836E-2"/>
          <c:y val="0.17331775700934579"/>
          <c:w val="0.71043320975866808"/>
          <c:h val="0.64748275381506515"/>
        </c:manualLayout>
      </c:layout>
      <c:lineChart>
        <c:grouping val="standard"/>
        <c:varyColors val="0"/>
        <c:ser>
          <c:idx val="0"/>
          <c:order val="0"/>
          <c:tx>
            <c:strRef>
              <c:f>Sheet1!$P$1</c:f>
              <c:strCache>
                <c:ptCount val="1"/>
                <c:pt idx="0">
                  <c:v>Local SME Spend %</c:v>
                </c:pt>
              </c:strCache>
            </c:strRef>
          </c:tx>
          <c:spPr>
            <a:ln w="28575" cap="rnd">
              <a:solidFill>
                <a:schemeClr val="accent1"/>
              </a:solidFill>
              <a:round/>
            </a:ln>
            <a:effectLst/>
          </c:spPr>
          <c:marker>
            <c:symbol val="none"/>
          </c:marker>
          <c:cat>
            <c:numRef>
              <c:f>Sheet1!$A$2:$A$13</c:f>
              <c:numCache>
                <c:formatCode>mmm\-yy</c:formatCode>
                <c:ptCount val="12"/>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numCache>
            </c:numRef>
          </c:cat>
          <c:val>
            <c:numRef>
              <c:f>Sheet1!$P$2:$P$13</c:f>
              <c:numCache>
                <c:formatCode>0.00</c:formatCode>
                <c:ptCount val="12"/>
                <c:pt idx="0">
                  <c:v>35.355379329886766</c:v>
                </c:pt>
                <c:pt idx="1">
                  <c:v>33.780536983880715</c:v>
                </c:pt>
                <c:pt idx="2">
                  <c:v>43.068091685168618</c:v>
                </c:pt>
                <c:pt idx="3">
                  <c:v>38.133467987750144</c:v>
                </c:pt>
                <c:pt idx="4">
                  <c:v>30.991682931453312</c:v>
                </c:pt>
                <c:pt idx="5">
                  <c:v>39.12530069225442</c:v>
                </c:pt>
                <c:pt idx="6">
                  <c:v>20.730091991188164</c:v>
                </c:pt>
                <c:pt idx="7">
                  <c:v>36.586842085830973</c:v>
                </c:pt>
                <c:pt idx="8">
                  <c:v>39.672026443266738</c:v>
                </c:pt>
                <c:pt idx="9">
                  <c:v>43.067605528761632</c:v>
                </c:pt>
                <c:pt idx="10">
                  <c:v>28.309393811898808</c:v>
                </c:pt>
                <c:pt idx="11">
                  <c:v>31.519491462108494</c:v>
                </c:pt>
              </c:numCache>
            </c:numRef>
          </c:val>
          <c:smooth val="0"/>
        </c:ser>
        <c:dLbls>
          <c:showLegendKey val="0"/>
          <c:showVal val="0"/>
          <c:showCatName val="0"/>
          <c:showSerName val="0"/>
          <c:showPercent val="0"/>
          <c:showBubbleSize val="0"/>
        </c:dLbls>
        <c:marker val="1"/>
        <c:smooth val="0"/>
        <c:axId val="138494720"/>
        <c:axId val="138496256"/>
      </c:lineChart>
      <c:dateAx>
        <c:axId val="138494720"/>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496256"/>
        <c:crosses val="autoZero"/>
        <c:auto val="1"/>
        <c:lblOffset val="100"/>
        <c:baseTimeUnit val="months"/>
      </c:dateAx>
      <c:valAx>
        <c:axId val="138496256"/>
        <c:scaling>
          <c:orientation val="minMax"/>
          <c:max val="7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494720"/>
        <c:crosses val="autoZero"/>
        <c:crossBetween val="between"/>
      </c:valAx>
      <c:spPr>
        <a:noFill/>
        <a:ln>
          <a:noFill/>
        </a:ln>
        <a:effectLst/>
      </c:spPr>
    </c:plotArea>
    <c:legend>
      <c:legendPos val="r"/>
      <c:layout>
        <c:manualLayout>
          <c:xMode val="edge"/>
          <c:yMode val="edge"/>
          <c:x val="0.79582608115926845"/>
          <c:y val="0.52152991390094927"/>
          <c:w val="0.17191910581785078"/>
          <c:h val="0.1396033556553094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ODSL Local Oxfordshire Spend %</a:t>
            </a:r>
          </a:p>
        </c:rich>
      </c:tx>
      <c:layout/>
      <c:overlay val="0"/>
      <c:spPr>
        <a:noFill/>
        <a:ln>
          <a:noFill/>
        </a:ln>
        <a:effectLst/>
      </c:spPr>
    </c:title>
    <c:autoTitleDeleted val="0"/>
    <c:plotArea>
      <c:layout>
        <c:manualLayout>
          <c:layoutTarget val="inner"/>
          <c:xMode val="edge"/>
          <c:yMode val="edge"/>
          <c:x val="8.2883352695667142E-2"/>
          <c:y val="0.13839552238805972"/>
          <c:w val="0.7099150685801372"/>
          <c:h val="0.68058061667525205"/>
        </c:manualLayout>
      </c:layout>
      <c:lineChart>
        <c:grouping val="standard"/>
        <c:varyColors val="0"/>
        <c:ser>
          <c:idx val="0"/>
          <c:order val="0"/>
          <c:tx>
            <c:strRef>
              <c:f>Sheet1!$G$1</c:f>
              <c:strCache>
                <c:ptCount val="1"/>
                <c:pt idx="0">
                  <c:v>Local Oxfordshire Spend %</c:v>
                </c:pt>
              </c:strCache>
            </c:strRef>
          </c:tx>
          <c:spPr>
            <a:ln w="28575" cap="rnd">
              <a:solidFill>
                <a:schemeClr val="accent1"/>
              </a:solidFill>
              <a:round/>
            </a:ln>
            <a:effectLst/>
          </c:spPr>
          <c:marker>
            <c:symbol val="none"/>
          </c:marker>
          <c:cat>
            <c:numRef>
              <c:f>Sheet1!$A$2:$A$13</c:f>
              <c:numCache>
                <c:formatCode>mmm\-yy</c:formatCode>
                <c:ptCount val="12"/>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numCache>
            </c:numRef>
          </c:cat>
          <c:val>
            <c:numRef>
              <c:f>Sheet1!$G$2:$G$13</c:f>
              <c:numCache>
                <c:formatCode>0.00</c:formatCode>
                <c:ptCount val="12"/>
                <c:pt idx="0">
                  <c:v>39.891565275107702</c:v>
                </c:pt>
                <c:pt idx="1">
                  <c:v>40.101771357814528</c:v>
                </c:pt>
                <c:pt idx="2">
                  <c:v>39.399509477378686</c:v>
                </c:pt>
                <c:pt idx="3">
                  <c:v>49.369795295530913</c:v>
                </c:pt>
                <c:pt idx="4">
                  <c:v>44.869814422560154</c:v>
                </c:pt>
                <c:pt idx="5">
                  <c:v>44.134508407247409</c:v>
                </c:pt>
                <c:pt idx="6">
                  <c:v>35.905386925298721</c:v>
                </c:pt>
                <c:pt idx="7">
                  <c:v>39.424181780945318</c:v>
                </c:pt>
                <c:pt idx="8">
                  <c:v>53.757545488737435</c:v>
                </c:pt>
                <c:pt idx="9">
                  <c:v>34.69390533631951</c:v>
                </c:pt>
                <c:pt idx="10">
                  <c:v>63.420081013730723</c:v>
                </c:pt>
                <c:pt idx="11">
                  <c:v>48.450552481643612</c:v>
                </c:pt>
              </c:numCache>
            </c:numRef>
          </c:val>
          <c:smooth val="0"/>
        </c:ser>
        <c:dLbls>
          <c:showLegendKey val="0"/>
          <c:showVal val="0"/>
          <c:showCatName val="0"/>
          <c:showSerName val="0"/>
          <c:showPercent val="0"/>
          <c:showBubbleSize val="0"/>
        </c:dLbls>
        <c:marker val="1"/>
        <c:smooth val="0"/>
        <c:axId val="138504064"/>
        <c:axId val="138505600"/>
      </c:lineChart>
      <c:dateAx>
        <c:axId val="138504064"/>
        <c:scaling>
          <c:orientation val="minMax"/>
        </c:scaling>
        <c:delete val="0"/>
        <c:axPos val="b"/>
        <c:numFmt formatCode="mmm\-yy" sourceLinked="1"/>
        <c:majorTickMark val="out"/>
        <c:minorTickMark val="none"/>
        <c:tickLblPos val="nextTo"/>
        <c:spPr>
          <a:noFill/>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505600"/>
        <c:crosses val="autoZero"/>
        <c:auto val="1"/>
        <c:lblOffset val="100"/>
        <c:baseTimeUnit val="months"/>
      </c:dateAx>
      <c:valAx>
        <c:axId val="138505600"/>
        <c:scaling>
          <c:orientation val="minMax"/>
          <c:max val="7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504064"/>
        <c:crosses val="autoZero"/>
        <c:crossBetween val="between"/>
      </c:valAx>
      <c:spPr>
        <a:noFill/>
        <a:ln>
          <a:noFill/>
        </a:ln>
        <a:effectLst/>
      </c:spPr>
    </c:plotArea>
    <c:legend>
      <c:legendPos val="r"/>
      <c:layout>
        <c:manualLayout>
          <c:xMode val="edge"/>
          <c:yMode val="edge"/>
          <c:x val="0.78314650832580357"/>
          <c:y val="0.51719179692090722"/>
          <c:w val="0.2037387375758358"/>
          <c:h val="0.163713127277000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ODSL Local SME Spend %</a:t>
            </a:r>
          </a:p>
        </c:rich>
      </c:tx>
      <c:layout/>
      <c:overlay val="0"/>
      <c:spPr>
        <a:noFill/>
        <a:ln>
          <a:noFill/>
        </a:ln>
        <a:effectLst/>
      </c:spPr>
    </c:title>
    <c:autoTitleDeleted val="0"/>
    <c:plotArea>
      <c:layout>
        <c:manualLayout>
          <c:layoutTarget val="inner"/>
          <c:xMode val="edge"/>
          <c:yMode val="edge"/>
          <c:x val="7.1281390703089836E-2"/>
          <c:y val="0.17331775700934579"/>
          <c:w val="0.71043320975866808"/>
          <c:h val="0.64748275381506515"/>
        </c:manualLayout>
      </c:layout>
      <c:lineChart>
        <c:grouping val="standard"/>
        <c:varyColors val="0"/>
        <c:ser>
          <c:idx val="0"/>
          <c:order val="0"/>
          <c:tx>
            <c:strRef>
              <c:f>Sheet1!$I$1</c:f>
              <c:strCache>
                <c:ptCount val="1"/>
                <c:pt idx="0">
                  <c:v>Local &amp; SME spend %</c:v>
                </c:pt>
              </c:strCache>
            </c:strRef>
          </c:tx>
          <c:spPr>
            <a:ln w="28575" cap="rnd">
              <a:solidFill>
                <a:schemeClr val="accent1"/>
              </a:solidFill>
              <a:round/>
            </a:ln>
            <a:effectLst/>
          </c:spPr>
          <c:marker>
            <c:symbol val="none"/>
          </c:marker>
          <c:cat>
            <c:numRef>
              <c:f>Sheet1!$A$2:$A$13</c:f>
              <c:numCache>
                <c:formatCode>mmm\-yy</c:formatCode>
                <c:ptCount val="12"/>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numCache>
            </c:numRef>
          </c:cat>
          <c:val>
            <c:numRef>
              <c:f>Sheet1!$I$2:$I$13</c:f>
              <c:numCache>
                <c:formatCode>0.00</c:formatCode>
                <c:ptCount val="12"/>
                <c:pt idx="0">
                  <c:v>35.572888579908245</c:v>
                </c:pt>
                <c:pt idx="1">
                  <c:v>32.073317344668105</c:v>
                </c:pt>
                <c:pt idx="2">
                  <c:v>35.147473607053563</c:v>
                </c:pt>
                <c:pt idx="3">
                  <c:v>41.445114852031622</c:v>
                </c:pt>
                <c:pt idx="4">
                  <c:v>38.141543422591759</c:v>
                </c:pt>
                <c:pt idx="5">
                  <c:v>37.605776444929781</c:v>
                </c:pt>
                <c:pt idx="6">
                  <c:v>28.731961259740295</c:v>
                </c:pt>
                <c:pt idx="7">
                  <c:v>31.809135940369316</c:v>
                </c:pt>
                <c:pt idx="8">
                  <c:v>39.294665336456944</c:v>
                </c:pt>
                <c:pt idx="9">
                  <c:v>33.349527883540361</c:v>
                </c:pt>
                <c:pt idx="10">
                  <c:v>52.953336182670753</c:v>
                </c:pt>
                <c:pt idx="11">
                  <c:v>44.662135853718908</c:v>
                </c:pt>
              </c:numCache>
            </c:numRef>
          </c:val>
          <c:smooth val="0"/>
        </c:ser>
        <c:dLbls>
          <c:showLegendKey val="0"/>
          <c:showVal val="0"/>
          <c:showCatName val="0"/>
          <c:showSerName val="0"/>
          <c:showPercent val="0"/>
          <c:showBubbleSize val="0"/>
        </c:dLbls>
        <c:marker val="1"/>
        <c:smooth val="0"/>
        <c:axId val="138550656"/>
        <c:axId val="138552448"/>
      </c:lineChart>
      <c:dateAx>
        <c:axId val="138550656"/>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552448"/>
        <c:crosses val="autoZero"/>
        <c:auto val="1"/>
        <c:lblOffset val="100"/>
        <c:baseTimeUnit val="months"/>
      </c:dateAx>
      <c:valAx>
        <c:axId val="138552448"/>
        <c:scaling>
          <c:orientation val="minMax"/>
          <c:max val="7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550656"/>
        <c:crosses val="autoZero"/>
        <c:crossBetween val="between"/>
      </c:valAx>
      <c:spPr>
        <a:noFill/>
        <a:ln>
          <a:noFill/>
        </a:ln>
        <a:effectLst/>
      </c:spPr>
    </c:plotArea>
    <c:legend>
      <c:legendPos val="r"/>
      <c:layout>
        <c:manualLayout>
          <c:xMode val="edge"/>
          <c:yMode val="edge"/>
          <c:x val="0.79582608115926845"/>
          <c:y val="0.52152991390094927"/>
          <c:w val="0.17191910581785078"/>
          <c:h val="0.1396033556553094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OCHL Local Oxfordshire Spend %</a:t>
            </a:r>
          </a:p>
        </c:rich>
      </c:tx>
      <c:layout/>
      <c:overlay val="0"/>
      <c:spPr>
        <a:noFill/>
        <a:ln>
          <a:noFill/>
        </a:ln>
        <a:effectLst/>
      </c:spPr>
    </c:title>
    <c:autoTitleDeleted val="0"/>
    <c:plotArea>
      <c:layout>
        <c:manualLayout>
          <c:layoutTarget val="inner"/>
          <c:xMode val="edge"/>
          <c:yMode val="edge"/>
          <c:x val="8.2883352695667142E-2"/>
          <c:y val="0.13839552238805972"/>
          <c:w val="0.7099150685801372"/>
          <c:h val="0.68058061667525205"/>
        </c:manualLayout>
      </c:layout>
      <c:lineChart>
        <c:grouping val="standard"/>
        <c:varyColors val="0"/>
        <c:ser>
          <c:idx val="0"/>
          <c:order val="0"/>
          <c:tx>
            <c:strRef>
              <c:f>Sheet1!$G$1</c:f>
              <c:strCache>
                <c:ptCount val="1"/>
                <c:pt idx="0">
                  <c:v>Local Oxfordshire Spend %</c:v>
                </c:pt>
              </c:strCache>
            </c:strRef>
          </c:tx>
          <c:spPr>
            <a:ln w="28575" cap="rnd">
              <a:solidFill>
                <a:schemeClr val="accent1"/>
              </a:solidFill>
              <a:round/>
            </a:ln>
            <a:effectLst/>
          </c:spPr>
          <c:marker>
            <c:symbol val="none"/>
          </c:marker>
          <c:cat>
            <c:numRef>
              <c:f>Sheet1!$A$2:$A$13</c:f>
              <c:numCache>
                <c:formatCode>mmm\-yy</c:formatCode>
                <c:ptCount val="12"/>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numCache>
            </c:numRef>
          </c:cat>
          <c:val>
            <c:numRef>
              <c:f>Sheet1!$G$2:$G$13</c:f>
              <c:numCache>
                <c:formatCode>0.00</c:formatCode>
                <c:ptCount val="12"/>
                <c:pt idx="0">
                  <c:v>2.5269345958572424</c:v>
                </c:pt>
                <c:pt idx="1">
                  <c:v>3.7549661057485197</c:v>
                </c:pt>
                <c:pt idx="2">
                  <c:v>100</c:v>
                </c:pt>
                <c:pt idx="3">
                  <c:v>0</c:v>
                </c:pt>
                <c:pt idx="4">
                  <c:v>0</c:v>
                </c:pt>
                <c:pt idx="5">
                  <c:v>40.784134537529354</c:v>
                </c:pt>
                <c:pt idx="6">
                  <c:v>2.8526082275415452</c:v>
                </c:pt>
                <c:pt idx="7">
                  <c:v>3.7107464692475429</c:v>
                </c:pt>
                <c:pt idx="8">
                  <c:v>4.3420038049454908</c:v>
                </c:pt>
                <c:pt idx="9">
                  <c:v>9.3742885140112975</c:v>
                </c:pt>
                <c:pt idx="10">
                  <c:v>2.6732378867660892E-2</c:v>
                </c:pt>
                <c:pt idx="11">
                  <c:v>3.7477801070530647</c:v>
                </c:pt>
              </c:numCache>
            </c:numRef>
          </c:val>
          <c:smooth val="0"/>
        </c:ser>
        <c:dLbls>
          <c:showLegendKey val="0"/>
          <c:showVal val="0"/>
          <c:showCatName val="0"/>
          <c:showSerName val="0"/>
          <c:showPercent val="0"/>
          <c:showBubbleSize val="0"/>
        </c:dLbls>
        <c:marker val="1"/>
        <c:smooth val="0"/>
        <c:axId val="146482304"/>
        <c:axId val="146483840"/>
      </c:lineChart>
      <c:dateAx>
        <c:axId val="146482304"/>
        <c:scaling>
          <c:orientation val="minMax"/>
        </c:scaling>
        <c:delete val="0"/>
        <c:axPos val="b"/>
        <c:numFmt formatCode="mmm\-yy" sourceLinked="1"/>
        <c:majorTickMark val="out"/>
        <c:minorTickMark val="none"/>
        <c:tickLblPos val="nextTo"/>
        <c:spPr>
          <a:noFill/>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483840"/>
        <c:crosses val="autoZero"/>
        <c:auto val="1"/>
        <c:lblOffset val="100"/>
        <c:baseTimeUnit val="months"/>
      </c:dateAx>
      <c:valAx>
        <c:axId val="14648384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482304"/>
        <c:crosses val="autoZero"/>
        <c:crossBetween val="between"/>
      </c:valAx>
      <c:spPr>
        <a:noFill/>
        <a:ln>
          <a:noFill/>
        </a:ln>
        <a:effectLst/>
      </c:spPr>
    </c:plotArea>
    <c:legend>
      <c:legendPos val="r"/>
      <c:layout>
        <c:manualLayout>
          <c:xMode val="edge"/>
          <c:yMode val="edge"/>
          <c:x val="0.78314650832580357"/>
          <c:y val="0.51719179692090722"/>
          <c:w val="0.2037387375758358"/>
          <c:h val="0.163713127277000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OCHL Local SME Spend %</a:t>
            </a:r>
          </a:p>
        </c:rich>
      </c:tx>
      <c:layout/>
      <c:overlay val="0"/>
      <c:spPr>
        <a:noFill/>
        <a:ln>
          <a:noFill/>
        </a:ln>
        <a:effectLst/>
      </c:spPr>
    </c:title>
    <c:autoTitleDeleted val="0"/>
    <c:plotArea>
      <c:layout>
        <c:manualLayout>
          <c:layoutTarget val="inner"/>
          <c:xMode val="edge"/>
          <c:yMode val="edge"/>
          <c:x val="7.1281390703089836E-2"/>
          <c:y val="0.17331775700934579"/>
          <c:w val="0.71043320975866808"/>
          <c:h val="0.64748275381506515"/>
        </c:manualLayout>
      </c:layout>
      <c:lineChart>
        <c:grouping val="standard"/>
        <c:varyColors val="0"/>
        <c:ser>
          <c:idx val="0"/>
          <c:order val="0"/>
          <c:tx>
            <c:strRef>
              <c:f>Sheet1!$I$1</c:f>
              <c:strCache>
                <c:ptCount val="1"/>
                <c:pt idx="0">
                  <c:v>Local &amp; SME Spend %</c:v>
                </c:pt>
              </c:strCache>
            </c:strRef>
          </c:tx>
          <c:spPr>
            <a:ln w="28575" cap="rnd">
              <a:solidFill>
                <a:schemeClr val="accent1"/>
              </a:solidFill>
              <a:round/>
            </a:ln>
            <a:effectLst/>
          </c:spPr>
          <c:marker>
            <c:symbol val="none"/>
          </c:marker>
          <c:cat>
            <c:numRef>
              <c:f>Sheet1!$A$2:$A$13</c:f>
              <c:numCache>
                <c:formatCode>mmm\-yy</c:formatCode>
                <c:ptCount val="12"/>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numCache>
            </c:numRef>
          </c:cat>
          <c:val>
            <c:numRef>
              <c:f>Sheet1!$I$2:$I$13</c:f>
              <c:numCache>
                <c:formatCode>0.00</c:formatCode>
                <c:ptCount val="12"/>
                <c:pt idx="0">
                  <c:v>2.5269345958572424</c:v>
                </c:pt>
                <c:pt idx="1">
                  <c:v>3.7549661057485197</c:v>
                </c:pt>
                <c:pt idx="2">
                  <c:v>100</c:v>
                </c:pt>
                <c:pt idx="3">
                  <c:v>0</c:v>
                </c:pt>
                <c:pt idx="4">
                  <c:v>0</c:v>
                </c:pt>
                <c:pt idx="5">
                  <c:v>40.784134537529354</c:v>
                </c:pt>
                <c:pt idx="6">
                  <c:v>2.8526082275415452</c:v>
                </c:pt>
                <c:pt idx="7">
                  <c:v>0</c:v>
                </c:pt>
                <c:pt idx="8">
                  <c:v>4.3420038049454908</c:v>
                </c:pt>
                <c:pt idx="9">
                  <c:v>9.3742885140112975</c:v>
                </c:pt>
                <c:pt idx="10">
                  <c:v>0</c:v>
                </c:pt>
                <c:pt idx="11">
                  <c:v>3.6175481084093137</c:v>
                </c:pt>
              </c:numCache>
            </c:numRef>
          </c:val>
          <c:smooth val="0"/>
        </c:ser>
        <c:dLbls>
          <c:showLegendKey val="0"/>
          <c:showVal val="0"/>
          <c:showCatName val="0"/>
          <c:showSerName val="0"/>
          <c:showPercent val="0"/>
          <c:showBubbleSize val="0"/>
        </c:dLbls>
        <c:marker val="1"/>
        <c:smooth val="0"/>
        <c:axId val="146496512"/>
        <c:axId val="146502400"/>
      </c:lineChart>
      <c:dateAx>
        <c:axId val="146496512"/>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502400"/>
        <c:crosses val="autoZero"/>
        <c:auto val="1"/>
        <c:lblOffset val="100"/>
        <c:baseTimeUnit val="months"/>
      </c:dateAx>
      <c:valAx>
        <c:axId val="14650240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496512"/>
        <c:crosses val="autoZero"/>
        <c:crossBetween val="between"/>
      </c:valAx>
      <c:spPr>
        <a:noFill/>
        <a:ln>
          <a:noFill/>
        </a:ln>
        <a:effectLst/>
      </c:spPr>
    </c:plotArea>
    <c:legend>
      <c:legendPos val="r"/>
      <c:layout>
        <c:manualLayout>
          <c:xMode val="edge"/>
          <c:yMode val="edge"/>
          <c:x val="0.79582608115926845"/>
          <c:y val="0.52152991390094927"/>
          <c:w val="0.17191910581785078"/>
          <c:h val="0.1396033556553094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7BD3E2B40EE4B99233DA35941ABA9" ma:contentTypeVersion="2" ma:contentTypeDescription="Create a new document." ma:contentTypeScope="" ma:versionID="895af6ef96fcc1cbabbdf95133144ad3">
  <xsd:schema xmlns:xsd="http://www.w3.org/2001/XMLSchema" xmlns:xs="http://www.w3.org/2001/XMLSchema" xmlns:p="http://schemas.microsoft.com/office/2006/metadata/properties" xmlns:ns2="fdb8f1d2-729e-4e17-b922-d1876d49c6d9" targetNamespace="http://schemas.microsoft.com/office/2006/metadata/properties" ma:root="true" ma:fieldsID="0fdd767a2e81157f99857a0e1af04e18" ns2:_="">
    <xsd:import namespace="fdb8f1d2-729e-4e17-b922-d1876d49c6d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8f1d2-729e-4e17-b922-d1876d49c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9CFA0-F214-4A7B-82AD-109115D3F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8f1d2-729e-4e17-b922-d1876d49c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57DCC2-8C65-4825-B5B5-63FB39CD1665}">
  <ds:schemaRefs>
    <ds:schemaRef ds:uri="http://schemas.microsoft.com/office/2006/metadata/properties"/>
    <ds:schemaRef ds:uri="http://purl.org/dc/dcmitype/"/>
    <ds:schemaRef ds:uri="http://purl.org/dc/elements/1.1/"/>
    <ds:schemaRef ds:uri="fdb8f1d2-729e-4e17-b922-d1876d49c6d9"/>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6B80F00B-2467-473D-B5F5-A06E841BB4B0}">
  <ds:schemaRefs>
    <ds:schemaRef ds:uri="http://schemas.microsoft.com/sharepoint/v3/contenttype/forms"/>
  </ds:schemaRefs>
</ds:datastoreItem>
</file>

<file path=customXml/itemProps4.xml><?xml version="1.0" encoding="utf-8"?>
<ds:datastoreItem xmlns:ds="http://schemas.openxmlformats.org/officeDocument/2006/customXml" ds:itemID="{F7CD5465-E371-4FE1-A400-8633F15F2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Cabinet Report Template (1)</Template>
  <TotalTime>1</TotalTime>
  <Pages>16</Pages>
  <Words>3353</Words>
  <Characters>19118</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22427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smahon</dc:creator>
  <cp:lastModifiedBy>thudson</cp:lastModifiedBy>
  <cp:revision>2</cp:revision>
  <cp:lastPrinted>2020-02-17T09:55:00Z</cp:lastPrinted>
  <dcterms:created xsi:type="dcterms:W3CDTF">2020-02-17T14:21:00Z</dcterms:created>
  <dcterms:modified xsi:type="dcterms:W3CDTF">2020-02-17T14:21:00Z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0x01010045D7BD3E2B40EE4B99233DA35941ABA9</vt:lpwstr>
  </property>
</Properties>
</file>